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72"/>
          <w:szCs w:val="72"/>
        </w:rPr>
      </w:pPr>
      <w:r>
        <w:rPr>
          <w:rFonts w:hint="eastAsia" w:ascii="仿宋_GB2312" w:hAnsi="仿宋_GB2312" w:eastAsia="仿宋_GB2312" w:cs="仿宋_GB2312"/>
          <w:sz w:val="52"/>
          <w:szCs w:val="52"/>
          <w:lang w:eastAsia="zh-CN"/>
        </w:rPr>
        <w:t>成都汽车职业技学校校本教材建设项目</w:t>
      </w:r>
    </w:p>
    <w:p>
      <w:pPr>
        <w:jc w:val="center"/>
        <w:rPr>
          <w:rFonts w:hint="eastAsia" w:ascii="仿宋_GB2312" w:hAnsi="仿宋_GB2312" w:eastAsia="仿宋_GB2312" w:cs="仿宋_GB2312"/>
          <w:sz w:val="44"/>
          <w:szCs w:val="44"/>
        </w:rPr>
      </w:pPr>
    </w:p>
    <w:p>
      <w:pPr>
        <w:jc w:val="center"/>
        <w:rPr>
          <w:rFonts w:hint="eastAsia"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rPr>
        <w:t>2023年1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p>
    <w:p>
      <w:pPr>
        <w:pStyle w:val="2"/>
        <w:bidi w:val="0"/>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spacing w:line="360" w:lineRule="auto"/>
        <w:ind w:firstLine="480" w:firstLineChars="200"/>
        <w:rPr>
          <w:rFonts w:ascii="宋体" w:hAnsi="宋体" w:cs="宋体"/>
          <w:b/>
          <w:sz w:val="24"/>
        </w:rPr>
      </w:pPr>
      <w:bookmarkStart w:id="9" w:name="_GoBack"/>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成都职业技学校校本教材建设项目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w:t>
      </w:r>
      <w:r>
        <w:rPr>
          <w:rFonts w:hint="eastAsia" w:ascii="宋体" w:hAnsi="宋体" w:cs="宋体"/>
          <w:b/>
          <w:sz w:val="24"/>
          <w:u w:val="single"/>
          <w:lang w:val="en-US" w:eastAsia="zh-CN"/>
        </w:rPr>
        <w:t>汽车</w:t>
      </w:r>
      <w:r>
        <w:rPr>
          <w:rFonts w:hint="eastAsia" w:ascii="宋体" w:hAnsi="宋体" w:cs="宋体"/>
          <w:b/>
          <w:sz w:val="24"/>
          <w:u w:val="single"/>
          <w:lang w:eastAsia="zh-CN"/>
        </w:rPr>
        <w:t>职业技学校校本教材建设项目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w:t>
      </w:r>
      <w:r>
        <w:rPr>
          <w:rFonts w:hint="eastAsia" w:ascii="宋体" w:hAnsi="宋体" w:cs="宋体"/>
          <w:b/>
          <w:color w:val="FF0000"/>
          <w:sz w:val="24"/>
          <w:lang w:eastAsia="zh-CN"/>
        </w:rPr>
        <w:t>-2023111</w:t>
      </w:r>
      <w:r>
        <w:rPr>
          <w:rFonts w:hint="eastAsia" w:ascii="宋体" w:hAnsi="宋体" w:cs="宋体"/>
          <w:b/>
          <w:color w:val="FF0000"/>
          <w:sz w:val="24"/>
          <w:lang w:val="en-US" w:eastAsia="zh-CN"/>
        </w:rPr>
        <w:t>3</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16"/>
        <w:ind w:firstLine="600" w:firstLineChars="250"/>
        <w:rPr>
          <w:rFonts w:hAnsi="宋体" w:cs="宋体"/>
          <w:sz w:val="24"/>
          <w:szCs w:val="24"/>
        </w:rPr>
      </w:pPr>
      <w:r>
        <w:rPr>
          <w:rFonts w:hint="eastAsia" w:hAnsi="宋体" w:cs="宋体"/>
          <w:sz w:val="24"/>
          <w:szCs w:val="24"/>
        </w:rPr>
        <w:t>1、具有独立承担民事责任的能力；</w:t>
      </w:r>
    </w:p>
    <w:p>
      <w:pPr>
        <w:pStyle w:val="16"/>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16"/>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16"/>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16"/>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16"/>
        <w:ind w:firstLine="600" w:firstLineChars="250"/>
        <w:rPr>
          <w:rFonts w:hAnsi="宋体" w:cs="宋体"/>
          <w:sz w:val="24"/>
          <w:szCs w:val="24"/>
        </w:rPr>
      </w:pPr>
      <w:r>
        <w:rPr>
          <w:rFonts w:hint="eastAsia" w:hAnsi="宋体" w:cs="宋体"/>
          <w:sz w:val="24"/>
          <w:szCs w:val="24"/>
        </w:rPr>
        <w:t>6、法律、行政法规规定的其他条件；</w:t>
      </w:r>
    </w:p>
    <w:p>
      <w:pPr>
        <w:pStyle w:val="16"/>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16"/>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FF0000"/>
          <w:sz w:val="24"/>
        </w:rPr>
      </w:pPr>
      <w:r>
        <w:rPr>
          <w:rFonts w:hint="eastAsia" w:hAnsi="宋体" w:cs="宋体"/>
          <w:sz w:val="24"/>
        </w:rPr>
        <w:t>比选文件详见公告下方</w:t>
      </w:r>
      <w:r>
        <w:rPr>
          <w:rFonts w:hint="eastAsia" w:hAnsi="宋体" w:cs="宋体"/>
          <w:color w:val="FF0000"/>
          <w:sz w:val="24"/>
        </w:rPr>
        <w:t>附件1。</w:t>
      </w:r>
    </w:p>
    <w:p>
      <w:pPr>
        <w:pStyle w:val="16"/>
        <w:numPr>
          <w:ilvl w:val="0"/>
          <w:numId w:val="2"/>
        </w:numPr>
        <w:ind w:firstLine="602" w:firstLineChars="250"/>
        <w:rPr>
          <w:rFonts w:hAnsi="宋体" w:cs="宋体"/>
          <w:b/>
          <w:snapToGrid w:val="0"/>
          <w:sz w:val="24"/>
          <w:szCs w:val="24"/>
        </w:rPr>
      </w:pPr>
      <w:r>
        <w:rPr>
          <w:rFonts w:hint="eastAsia" w:hAnsi="宋体" w:cs="宋体"/>
          <w:b/>
          <w:snapToGrid w:val="0"/>
          <w:sz w:val="24"/>
          <w:szCs w:val="24"/>
        </w:rPr>
        <w:t>比选申请文件提交方式及截止时间：</w:t>
      </w:r>
    </w:p>
    <w:p>
      <w:pPr>
        <w:spacing w:line="360" w:lineRule="auto"/>
        <w:ind w:firstLine="480" w:firstLineChars="200"/>
        <w:jc w:val="left"/>
        <w:rPr>
          <w:rFonts w:ascii="宋体" w:hAnsi="宋体" w:cs="宋体"/>
          <w:color w:val="FF0000"/>
          <w:sz w:val="24"/>
        </w:rPr>
      </w:pPr>
      <w:r>
        <w:rPr>
          <w:rFonts w:hint="eastAsia" w:hAnsi="宋体" w:cs="宋体"/>
          <w:sz w:val="24"/>
        </w:rPr>
        <w:t>比选申请文件格式要求：</w:t>
      </w:r>
      <w:r>
        <w:rPr>
          <w:rFonts w:hint="eastAsia" w:hAnsi="宋体" w:cs="宋体"/>
          <w:b/>
          <w:bCs/>
          <w:color w:val="FF0000"/>
          <w:sz w:val="24"/>
          <w:lang w:val="en-US" w:eastAsia="zh-CN"/>
        </w:rPr>
        <w:t>盖章密封纸质版文件</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递交</w:t>
      </w:r>
      <w:r>
        <w:rPr>
          <w:rFonts w:hint="eastAsia" w:ascii="宋体" w:hAnsi="宋体" w:cs="宋体"/>
          <w:sz w:val="24"/>
          <w:lang w:val="en-US" w:eastAsia="zh-CN"/>
        </w:rPr>
        <w:t>地址</w:t>
      </w:r>
      <w:r>
        <w:rPr>
          <w:rFonts w:hint="eastAsia" w:ascii="宋体" w:hAnsi="宋体" w:cs="宋体"/>
          <w:sz w:val="24"/>
        </w:rPr>
        <w:t>：</w:t>
      </w:r>
      <w:r>
        <w:rPr>
          <w:rFonts w:hint="eastAsia" w:ascii="宋体" w:hAnsi="宋体" w:cs="宋体"/>
          <w:b/>
          <w:bCs/>
          <w:color w:val="FF0000"/>
          <w:sz w:val="24"/>
          <w:lang w:val="en-US" w:eastAsia="zh-CN"/>
        </w:rPr>
        <w:t>成都汽车职业技术学校总务处（成都市龙泉驿区幸福路388号）</w:t>
      </w:r>
    </w:p>
    <w:p>
      <w:pPr>
        <w:spacing w:line="360" w:lineRule="auto"/>
        <w:ind w:firstLine="480" w:firstLineChars="200"/>
        <w:jc w:val="left"/>
        <w:rPr>
          <w:rFonts w:ascii="宋体" w:hAnsi="宋体" w:cs="宋体"/>
          <w:color w:val="auto"/>
          <w:sz w:val="24"/>
        </w:rPr>
      </w:pPr>
      <w:r>
        <w:rPr>
          <w:rFonts w:hint="eastAsia" w:ascii="宋体" w:hAnsi="宋体" w:cs="宋体"/>
          <w:sz w:val="24"/>
        </w:rPr>
        <w:t>递交截止时间：</w:t>
      </w:r>
      <w:r>
        <w:rPr>
          <w:rFonts w:hint="eastAsia" w:ascii="宋体" w:hAnsi="宋体" w:cs="宋体"/>
          <w:b/>
          <w:bCs/>
          <w:color w:val="FF0000"/>
          <w:sz w:val="24"/>
        </w:rPr>
        <w:t>2023年11月</w:t>
      </w:r>
      <w:r>
        <w:rPr>
          <w:rFonts w:hint="eastAsia" w:ascii="宋体" w:hAnsi="宋体" w:cs="宋体"/>
          <w:b/>
          <w:bCs/>
          <w:color w:val="FF0000"/>
          <w:sz w:val="24"/>
          <w:lang w:val="en-US" w:eastAsia="zh-CN"/>
        </w:rPr>
        <w:t>17</w:t>
      </w:r>
      <w:r>
        <w:rPr>
          <w:rFonts w:hint="eastAsia" w:ascii="宋体" w:hAnsi="宋体" w:cs="宋体"/>
          <w:b/>
          <w:bCs/>
          <w:color w:val="FF0000"/>
          <w:sz w:val="24"/>
        </w:rPr>
        <w:t>日</w:t>
      </w:r>
      <w:r>
        <w:rPr>
          <w:rFonts w:hint="eastAsia" w:ascii="宋体" w:hAnsi="宋体" w:cs="宋体"/>
          <w:b/>
          <w:bCs/>
          <w:color w:val="FF0000"/>
          <w:sz w:val="24"/>
          <w:lang w:val="en-US" w:eastAsia="zh-CN"/>
        </w:rPr>
        <w:t>12</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16"/>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16"/>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16"/>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sz w:val="24"/>
        </w:rPr>
      </w:pPr>
      <w:r>
        <w:rPr>
          <w:rFonts w:hint="eastAsia" w:ascii="宋体" w:hAnsi="宋体" w:cs="宋体"/>
          <w:b/>
          <w:sz w:val="24"/>
        </w:rPr>
        <w:t>五、比选时间：</w:t>
      </w:r>
      <w:r>
        <w:rPr>
          <w:rFonts w:hint="eastAsia" w:ascii="宋体" w:hAnsi="宋体" w:cs="宋体"/>
          <w:b/>
          <w:bCs/>
          <w:color w:val="FF0000"/>
          <w:sz w:val="24"/>
        </w:rPr>
        <w:t>2023年11月</w:t>
      </w:r>
      <w:r>
        <w:rPr>
          <w:rFonts w:hint="eastAsia" w:ascii="宋体" w:hAnsi="宋体" w:cs="宋体"/>
          <w:b/>
          <w:bCs/>
          <w:color w:val="FF0000"/>
          <w:sz w:val="24"/>
          <w:lang w:val="en-US" w:eastAsia="zh-CN"/>
        </w:rPr>
        <w:t>17</w:t>
      </w:r>
      <w:r>
        <w:rPr>
          <w:rFonts w:hint="eastAsia" w:ascii="宋体" w:hAnsi="宋体" w:cs="宋体"/>
          <w:b/>
          <w:bCs/>
          <w:color w:val="FF0000"/>
          <w:sz w:val="24"/>
        </w:rPr>
        <w:t>日</w:t>
      </w:r>
      <w:r>
        <w:rPr>
          <w:rFonts w:hint="eastAsia" w:ascii="宋体" w:hAnsi="宋体" w:cs="宋体"/>
          <w:b/>
          <w:bCs/>
          <w:color w:val="FF0000"/>
          <w:sz w:val="24"/>
          <w:lang w:val="en-US" w:eastAsia="zh-CN"/>
        </w:rPr>
        <w:t>14</w:t>
      </w:r>
      <w:r>
        <w:rPr>
          <w:rFonts w:hint="eastAsia" w:ascii="宋体" w:hAnsi="宋体" w:cs="宋体"/>
          <w:b/>
          <w:bCs/>
          <w:color w:val="FF0000"/>
          <w:sz w:val="24"/>
        </w:rPr>
        <w:t>时00分</w:t>
      </w:r>
      <w:r>
        <w:rPr>
          <w:rFonts w:hint="eastAsia" w:ascii="宋体" w:hAnsi="宋体" w:cs="宋体"/>
          <w:b/>
          <w:sz w:val="24"/>
        </w:rPr>
        <w:t>（北京时间）</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b/>
          <w:sz w:val="24"/>
        </w:rPr>
        <w:t>六、比选地点：</w:t>
      </w:r>
      <w:r>
        <w:rPr>
          <w:rFonts w:hint="eastAsia" w:ascii="宋体" w:hAnsi="宋体" w:cs="宋体"/>
          <w:bCs/>
          <w:sz w:val="24"/>
        </w:rPr>
        <w:t>成都汽车职业技术学校（成都市龙泉驿区同安镇幸福路388号）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bCs/>
        </w:rPr>
      </w:pPr>
      <w:r>
        <w:rPr>
          <w:rFonts w:hint="eastAsia" w:ascii="宋体" w:hAnsi="宋体" w:cs="宋体"/>
          <w:bCs/>
          <w:sz w:val="24"/>
        </w:rPr>
        <w:t>联系电话：13228133989。（微信同号）</w:t>
      </w:r>
    </w:p>
    <w:bookmarkEnd w:id="9"/>
    <w:p>
      <w:pPr>
        <w:spacing w:line="360" w:lineRule="auto"/>
        <w:ind w:firstLine="1260" w:firstLineChars="600"/>
        <w:rPr>
          <w:bCs/>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jc w:val="left"/>
        <w:rPr>
          <w:rFonts w:hint="eastAsia" w:ascii="方正黑体_GBK" w:eastAsia="方正黑体_GBK"/>
          <w:sz w:val="32"/>
          <w:szCs w:val="32"/>
        </w:rPr>
      </w:pPr>
    </w:p>
    <w:p>
      <w:pPr>
        <w:pStyle w:val="2"/>
        <w:bidi w:val="0"/>
        <w:rPr>
          <w:rFonts w:hint="eastAsia"/>
          <w:sz w:val="36"/>
          <w:szCs w:val="28"/>
        </w:rPr>
      </w:pPr>
      <w:bookmarkStart w:id="3" w:name="_Toc955"/>
      <w:r>
        <w:rPr>
          <w:rFonts w:hint="eastAsia"/>
          <w:sz w:val="36"/>
          <w:szCs w:val="28"/>
        </w:rPr>
        <w:t>投标人须知</w:t>
      </w:r>
      <w:bookmarkEnd w:id="3"/>
    </w:p>
    <w:p>
      <w:pPr>
        <w:jc w:val="left"/>
        <w:rPr>
          <w:rFonts w:hint="eastAsia" w:ascii="宋体" w:hAnsi="宋体" w:eastAsia="宋体" w:cs="宋体"/>
          <w:sz w:val="32"/>
          <w:szCs w:val="32"/>
          <w:lang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成都汽车职业技学校校本教材建设项目</w:t>
      </w:r>
    </w:p>
    <w:p>
      <w:pPr>
        <w:jc w:val="left"/>
        <w:rPr>
          <w:rFonts w:hint="eastAsia" w:ascii="宋体" w:hAnsi="宋体" w:eastAsia="宋体" w:cs="宋体"/>
          <w:sz w:val="32"/>
          <w:szCs w:val="32"/>
          <w:highlight w:val="none"/>
        </w:rPr>
      </w:pPr>
      <w:r>
        <w:rPr>
          <w:rFonts w:hint="eastAsia" w:ascii="宋体" w:hAnsi="宋体" w:eastAsia="宋体" w:cs="宋体"/>
          <w:sz w:val="32"/>
          <w:szCs w:val="32"/>
        </w:rPr>
        <w:t>编号：</w:t>
      </w:r>
      <w:r>
        <w:rPr>
          <w:rFonts w:hint="eastAsia" w:ascii="宋体" w:hAnsi="宋体" w:eastAsia="宋体" w:cs="宋体"/>
          <w:sz w:val="32"/>
          <w:szCs w:val="32"/>
          <w:highlight w:val="none"/>
          <w:lang w:val="en-US" w:eastAsia="zh-CN"/>
        </w:rPr>
        <w:t>QC-20231113</w:t>
      </w:r>
    </w:p>
    <w:p>
      <w:pPr>
        <w:jc w:val="left"/>
        <w:rPr>
          <w:rFonts w:hint="eastAsia" w:ascii="宋体" w:hAnsi="宋体" w:eastAsia="宋体" w:cs="宋体"/>
          <w:sz w:val="32"/>
          <w:szCs w:val="32"/>
        </w:rPr>
      </w:pPr>
      <w:r>
        <w:rPr>
          <w:rFonts w:hint="eastAsia" w:ascii="宋体" w:hAnsi="宋体" w:eastAsia="宋体" w:cs="宋体"/>
          <w:sz w:val="32"/>
          <w:szCs w:val="32"/>
        </w:rPr>
        <w:t>最高限价：</w:t>
      </w:r>
      <w:r>
        <w:rPr>
          <w:rFonts w:hint="eastAsia" w:ascii="宋体" w:hAnsi="宋体" w:eastAsia="宋体" w:cs="宋体"/>
          <w:sz w:val="32"/>
          <w:szCs w:val="32"/>
          <w:highlight w:val="yellow"/>
          <w:u w:val="single"/>
          <w:lang w:val="en-US" w:eastAsia="zh-CN"/>
        </w:rPr>
        <w:t>40000</w:t>
      </w:r>
      <w:r>
        <w:rPr>
          <w:rFonts w:hint="eastAsia" w:ascii="宋体" w:hAnsi="宋体" w:eastAsia="宋体" w:cs="宋体"/>
          <w:sz w:val="32"/>
          <w:szCs w:val="32"/>
          <w:highlight w:val="yellow"/>
          <w:u w:val="single"/>
        </w:rPr>
        <w:t>.00元</w:t>
      </w:r>
    </w:p>
    <w:p>
      <w:pPr>
        <w:jc w:val="left"/>
        <w:rPr>
          <w:rFonts w:hint="eastAsia" w:ascii="宋体" w:hAnsi="宋体" w:eastAsia="宋体" w:cs="宋体"/>
          <w:sz w:val="32"/>
          <w:szCs w:val="32"/>
        </w:rPr>
      </w:pPr>
      <w:r>
        <w:rPr>
          <w:rFonts w:hint="eastAsia" w:ascii="宋体" w:hAnsi="宋体" w:eastAsia="宋体" w:cs="宋体"/>
          <w:sz w:val="32"/>
          <w:szCs w:val="32"/>
        </w:rPr>
        <w:t>1.建设清单</w:t>
      </w:r>
    </w:p>
    <w:tbl>
      <w:tblPr>
        <w:tblStyle w:val="11"/>
        <w:tblpPr w:leftFromText="180" w:rightFromText="180" w:vertAnchor="text" w:horzAnchor="margin" w:tblpY="44"/>
        <w:tblOverlap w:val="never"/>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6079"/>
        <w:gridCol w:w="92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00"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序号</w:t>
            </w:r>
          </w:p>
        </w:tc>
        <w:tc>
          <w:tcPr>
            <w:tcW w:w="6079"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项目名称</w:t>
            </w:r>
          </w:p>
        </w:tc>
        <w:tc>
          <w:tcPr>
            <w:tcW w:w="928"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单位</w:t>
            </w:r>
          </w:p>
        </w:tc>
        <w:tc>
          <w:tcPr>
            <w:tcW w:w="739" w:type="dxa"/>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00"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6079"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汽车类对口升学应知校本教材</w:t>
            </w:r>
          </w:p>
        </w:tc>
        <w:tc>
          <w:tcPr>
            <w:tcW w:w="928"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部</w:t>
            </w:r>
          </w:p>
        </w:tc>
        <w:tc>
          <w:tcPr>
            <w:tcW w:w="739"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00"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2</w:t>
            </w:r>
          </w:p>
        </w:tc>
        <w:tc>
          <w:tcPr>
            <w:tcW w:w="6079" w:type="dxa"/>
            <w:vAlign w:val="center"/>
          </w:tcPr>
          <w:p>
            <w:pPr>
              <w:pStyle w:val="4"/>
              <w:jc w:val="center"/>
              <w:rPr>
                <w:rFonts w:ascii="宋体" w:hAnsi="宋体" w:eastAsia="宋体" w:cs="宋体"/>
                <w:kern w:val="0"/>
                <w:sz w:val="20"/>
                <w:lang w:eastAsia="zh-Hans"/>
              </w:rPr>
            </w:pPr>
            <w:r>
              <w:rPr>
                <w:rFonts w:hint="eastAsia" w:ascii="宋体" w:hAnsi="宋体" w:eastAsia="宋体" w:cs="宋体"/>
                <w:kern w:val="0"/>
                <w:sz w:val="20"/>
                <w:lang w:eastAsia="zh-Hans"/>
              </w:rPr>
              <w:t>汽车类对口升学应会校本教材</w:t>
            </w:r>
          </w:p>
        </w:tc>
        <w:tc>
          <w:tcPr>
            <w:tcW w:w="928"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部</w:t>
            </w:r>
          </w:p>
        </w:tc>
        <w:tc>
          <w:tcPr>
            <w:tcW w:w="739" w:type="dxa"/>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r>
    </w:tbl>
    <w:p>
      <w:pPr>
        <w:spacing w:line="360" w:lineRule="auto"/>
        <w:ind w:firstLine="480" w:firstLineChars="200"/>
        <w:rPr>
          <w:rFonts w:hint="eastAsia" w:ascii="方正黑体_GBK" w:eastAsia="方正黑体_GBK"/>
          <w:sz w:val="24"/>
        </w:rPr>
      </w:pPr>
    </w:p>
    <w:p>
      <w:pPr>
        <w:spacing w:line="360" w:lineRule="auto"/>
        <w:ind w:firstLine="480" w:firstLineChars="200"/>
        <w:rPr>
          <w:rFonts w:hint="eastAsia" w:ascii="方正黑体_GBK" w:eastAsia="方正黑体_GBK"/>
          <w:sz w:val="24"/>
        </w:rPr>
      </w:pPr>
    </w:p>
    <w:p>
      <w:pPr>
        <w:spacing w:line="360" w:lineRule="auto"/>
        <w:ind w:firstLine="480" w:firstLineChars="200"/>
        <w:rPr>
          <w:rFonts w:hint="eastAsia" w:ascii="方正黑体_GBK" w:eastAsia="方正黑体_GBK"/>
          <w:sz w:val="24"/>
        </w:rPr>
      </w:pPr>
    </w:p>
    <w:p>
      <w:pPr>
        <w:spacing w:line="360" w:lineRule="auto"/>
        <w:ind w:firstLine="480" w:firstLineChars="200"/>
        <w:rPr>
          <w:rFonts w:hint="eastAsia" w:ascii="方正黑体_GBK" w:eastAsia="方正黑体_GBK"/>
          <w:sz w:val="24"/>
        </w:rPr>
      </w:pPr>
    </w:p>
    <w:p>
      <w:pPr>
        <w:jc w:val="left"/>
        <w:rPr>
          <w:rFonts w:hint="eastAsia" w:ascii="宋体" w:hAnsi="宋体" w:eastAsia="宋体" w:cs="宋体"/>
          <w:sz w:val="32"/>
          <w:szCs w:val="32"/>
        </w:rPr>
      </w:pPr>
      <w:r>
        <w:rPr>
          <w:rFonts w:hint="eastAsia" w:ascii="宋体" w:hAnsi="宋体" w:eastAsia="宋体" w:cs="宋体"/>
          <w:sz w:val="32"/>
          <w:szCs w:val="32"/>
        </w:rPr>
        <w:t>2.技术参数</w:t>
      </w:r>
    </w:p>
    <w:tbl>
      <w:tblPr>
        <w:tblStyle w:val="10"/>
        <w:tblpPr w:leftFromText="180" w:rightFromText="180" w:vertAnchor="text" w:horzAnchor="margin" w:tblpY="98"/>
        <w:tblOverlap w:val="never"/>
        <w:tblW w:w="8335" w:type="dxa"/>
        <w:tblInd w:w="0" w:type="dxa"/>
        <w:tblLayout w:type="fixed"/>
        <w:tblCellMar>
          <w:top w:w="0" w:type="dxa"/>
          <w:left w:w="108" w:type="dxa"/>
          <w:bottom w:w="0" w:type="dxa"/>
          <w:right w:w="108" w:type="dxa"/>
        </w:tblCellMar>
      </w:tblPr>
      <w:tblGrid>
        <w:gridCol w:w="1644"/>
        <w:gridCol w:w="824"/>
        <w:gridCol w:w="5867"/>
      </w:tblGrid>
      <w:tr>
        <w:tblPrEx>
          <w:tblCellMar>
            <w:top w:w="0" w:type="dxa"/>
            <w:left w:w="108" w:type="dxa"/>
            <w:bottom w:w="0" w:type="dxa"/>
            <w:right w:w="108" w:type="dxa"/>
          </w:tblCellMar>
        </w:tblPrEx>
        <w:trPr>
          <w:trHeight w:val="300"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4"/>
            </w:pPr>
            <w:r>
              <w:rPr>
                <w:rFonts w:hint="eastAsia"/>
              </w:rPr>
              <w:t>项目名称</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数量</w:t>
            </w:r>
          </w:p>
        </w:tc>
        <w:tc>
          <w:tcPr>
            <w:tcW w:w="58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Theme="minorEastAsia" w:hAnsiTheme="minorEastAsia" w:cstheme="minorEastAsia"/>
                <w:color w:val="000000"/>
                <w:sz w:val="24"/>
              </w:rPr>
            </w:pPr>
            <w:r>
              <w:rPr>
                <w:rFonts w:hint="eastAsia" w:asciiTheme="minorEastAsia" w:hAnsiTheme="minorEastAsia" w:cstheme="minorEastAsia"/>
                <w:color w:val="000000"/>
                <w:sz w:val="24"/>
              </w:rPr>
              <w:t>服务内容与技术要求</w:t>
            </w:r>
          </w:p>
        </w:tc>
      </w:tr>
      <w:tr>
        <w:tblPrEx>
          <w:tblCellMar>
            <w:top w:w="0" w:type="dxa"/>
            <w:left w:w="108" w:type="dxa"/>
            <w:bottom w:w="0" w:type="dxa"/>
            <w:right w:w="108" w:type="dxa"/>
          </w:tblCellMar>
        </w:tblPrEx>
        <w:trPr>
          <w:trHeight w:val="90"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4"/>
              </w:rPr>
            </w:pPr>
            <w:r>
              <w:rPr>
                <w:rFonts w:hint="eastAsia" w:ascii="宋体" w:hAnsi="宋体" w:eastAsia="宋体" w:cs="宋体"/>
              </w:rPr>
              <w:t>汽车类对口升学应知校本教材</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rPr>
            </w:pPr>
            <w:r>
              <w:rPr>
                <w:rFonts w:hint="eastAsia" w:asciiTheme="minorEastAsia" w:hAnsiTheme="minorEastAsia" w:cstheme="minorEastAsia"/>
                <w:color w:val="000000"/>
              </w:rPr>
              <w:t>1部</w:t>
            </w:r>
          </w:p>
        </w:tc>
        <w:tc>
          <w:tcPr>
            <w:tcW w:w="5867" w:type="dxa"/>
            <w:tcBorders>
              <w:top w:val="single" w:color="000000" w:sz="4" w:space="0"/>
              <w:left w:val="single" w:color="000000" w:sz="4" w:space="0"/>
              <w:bottom w:val="single" w:color="000000" w:sz="4" w:space="0"/>
              <w:right w:val="single" w:color="000000" w:sz="4" w:space="0"/>
            </w:tcBorders>
            <w:shd w:val="clear" w:color="auto" w:fill="auto"/>
          </w:tcPr>
          <w:p>
            <w:pPr>
              <w:pStyle w:val="4"/>
              <w:rPr>
                <w:rFonts w:asciiTheme="minorEastAsia" w:hAnsiTheme="minorEastAsia" w:cstheme="minorEastAsia"/>
                <w:b/>
                <w:bCs/>
                <w:szCs w:val="21"/>
              </w:rPr>
            </w:pPr>
            <w:r>
              <w:rPr>
                <w:rFonts w:hint="eastAsia" w:asciiTheme="minorEastAsia" w:hAnsiTheme="minorEastAsia" w:cstheme="minorEastAsia"/>
                <w:b/>
                <w:bCs/>
                <w:szCs w:val="21"/>
              </w:rPr>
              <w:t>（一）服务内容</w:t>
            </w:r>
          </w:p>
          <w:p>
            <w:pPr>
              <w:rPr>
                <w:rFonts w:asciiTheme="minorEastAsia" w:hAnsiTheme="minorEastAsia" w:cstheme="minorEastAsia"/>
                <w:szCs w:val="21"/>
              </w:rPr>
            </w:pPr>
            <w:r>
              <w:rPr>
                <w:rFonts w:hint="eastAsia" w:asciiTheme="minorEastAsia" w:hAnsiTheme="minorEastAsia" w:cstheme="minorEastAsia"/>
                <w:szCs w:val="21"/>
              </w:rPr>
              <w:t>1.负责项目统筹，联系专家、校方，组织培训、指导等沟通工作</w:t>
            </w:r>
          </w:p>
          <w:p>
            <w:pPr>
              <w:pStyle w:val="4"/>
              <w:rPr>
                <w:rFonts w:asciiTheme="minorEastAsia" w:hAnsiTheme="minorEastAsia" w:cstheme="minorEastAsia"/>
                <w:szCs w:val="21"/>
              </w:rPr>
            </w:pPr>
            <w:r>
              <w:rPr>
                <w:rFonts w:hint="eastAsia" w:asciiTheme="minorEastAsia" w:hAnsiTheme="minorEastAsia" w:cstheme="minorEastAsia"/>
                <w:szCs w:val="21"/>
              </w:rPr>
              <w:t>2.配合主编及专家推进项目进度</w:t>
            </w:r>
          </w:p>
          <w:p>
            <w:pPr>
              <w:rPr>
                <w:rFonts w:asciiTheme="minorEastAsia" w:hAnsiTheme="minorEastAsia" w:cstheme="minorEastAsia"/>
                <w:szCs w:val="21"/>
              </w:rPr>
            </w:pPr>
            <w:r>
              <w:rPr>
                <w:rFonts w:hint="eastAsia" w:asciiTheme="minorEastAsia" w:hAnsiTheme="minorEastAsia" w:cstheme="minorEastAsia"/>
                <w:szCs w:val="21"/>
              </w:rPr>
              <w:t>3.美化排版</w:t>
            </w:r>
          </w:p>
          <w:p>
            <w:pPr>
              <w:pStyle w:val="4"/>
              <w:rPr>
                <w:rFonts w:asciiTheme="minorEastAsia" w:hAnsiTheme="minorEastAsia" w:cstheme="minorEastAsia"/>
                <w:b/>
                <w:bCs/>
                <w:szCs w:val="21"/>
              </w:rPr>
            </w:pPr>
            <w:r>
              <w:rPr>
                <w:rFonts w:hint="eastAsia" w:asciiTheme="minorEastAsia" w:hAnsiTheme="minorEastAsia" w:cstheme="minorEastAsia"/>
                <w:b/>
                <w:bCs/>
                <w:szCs w:val="21"/>
              </w:rPr>
              <w:t>(二)技术要求</w:t>
            </w:r>
          </w:p>
          <w:p>
            <w:pPr>
              <w:pStyle w:val="4"/>
              <w:rPr>
                <w:rFonts w:asciiTheme="minorEastAsia" w:hAnsiTheme="minorEastAsia" w:cstheme="minorEastAsia"/>
                <w:szCs w:val="21"/>
              </w:rPr>
            </w:pPr>
            <w:r>
              <w:rPr>
                <w:rFonts w:hint="eastAsia" w:asciiTheme="minorEastAsia" w:hAnsiTheme="minorEastAsia" w:cstheme="minorEastAsia"/>
                <w:szCs w:val="21"/>
              </w:rPr>
              <w:t>1.教材内容既要对接国家及行业最新标准，又要有利于落实专业人才培养方案，尤其要注重培养学生学科（专业）核心素养。</w:t>
            </w:r>
          </w:p>
          <w:p>
            <w:pPr>
              <w:pStyle w:val="4"/>
              <w:rPr>
                <w:rFonts w:asciiTheme="minorEastAsia" w:hAnsiTheme="minorEastAsia" w:cstheme="minorEastAsia"/>
                <w:szCs w:val="21"/>
              </w:rPr>
            </w:pPr>
            <w:r>
              <w:rPr>
                <w:rFonts w:hint="eastAsia" w:asciiTheme="minorEastAsia" w:hAnsiTheme="minorEastAsia" w:cstheme="minorEastAsia"/>
                <w:szCs w:val="21"/>
              </w:rPr>
              <w:t>2.教材编写形式力求多样化。在编写过程，应融入现代教学方法和教育理念，注重教材的实用性。</w:t>
            </w:r>
          </w:p>
          <w:p>
            <w:pPr>
              <w:pStyle w:val="4"/>
              <w:rPr>
                <w:rFonts w:asciiTheme="minorEastAsia" w:hAnsiTheme="minorEastAsia" w:cstheme="minorEastAsia"/>
                <w:szCs w:val="21"/>
              </w:rPr>
            </w:pPr>
            <w:r>
              <w:rPr>
                <w:rFonts w:hint="eastAsia" w:asciiTheme="minorEastAsia" w:hAnsiTheme="minorEastAsia" w:cstheme="minorEastAsia"/>
                <w:szCs w:val="21"/>
              </w:rPr>
              <w:t>3.教材应结合中职生源情况，简单化、实用化、实践化，淡化理论教学，重视实践教学，着重培养学生的基本能力、专业能力。</w:t>
            </w:r>
          </w:p>
          <w:p>
            <w:pPr>
              <w:pStyle w:val="4"/>
              <w:rPr>
                <w:rFonts w:asciiTheme="minorEastAsia" w:hAnsiTheme="minorEastAsia" w:cstheme="minorEastAsia"/>
                <w:szCs w:val="21"/>
              </w:rPr>
            </w:pPr>
            <w:r>
              <w:rPr>
                <w:rFonts w:hint="eastAsia" w:asciiTheme="minorEastAsia" w:hAnsiTheme="minorEastAsia" w:cstheme="minorEastAsia"/>
                <w:szCs w:val="21"/>
              </w:rPr>
              <w:t>4.教材应符合四川省普通高校对口招生职业技能考试大纲汽车类（2</w:t>
            </w:r>
            <w:r>
              <w:rPr>
                <w:rFonts w:asciiTheme="minorEastAsia" w:hAnsiTheme="minorEastAsia" w:cstheme="minorEastAsia"/>
                <w:szCs w:val="21"/>
              </w:rPr>
              <w:t>023</w:t>
            </w:r>
            <w:r>
              <w:rPr>
                <w:rFonts w:hint="eastAsia" w:asciiTheme="minorEastAsia" w:hAnsiTheme="minorEastAsia" w:cstheme="minorEastAsia"/>
                <w:szCs w:val="21"/>
              </w:rPr>
              <w:t>年版）第一部分专业知识（应知）内容要求。</w:t>
            </w:r>
          </w:p>
          <w:p>
            <w:pPr>
              <w:pStyle w:val="4"/>
              <w:rPr>
                <w:rFonts w:asciiTheme="minorEastAsia" w:hAnsiTheme="minorEastAsia" w:cstheme="minorEastAsia"/>
                <w:szCs w:val="21"/>
              </w:rPr>
            </w:pPr>
            <w:r>
              <w:rPr>
                <w:rFonts w:hint="eastAsia" w:asciiTheme="minorEastAsia" w:hAnsiTheme="minorEastAsia" w:cstheme="minorEastAsia"/>
                <w:szCs w:val="21"/>
              </w:rPr>
              <w:t>5.教材应与生产实践相结合，突出前瞻性、指导性、可操作性；教材观点正确，用词准确，语言表述清楚。段落清晰，层次分明；结构完整，书稿内容包括内封面、前言、目录、正文、附录等。</w:t>
            </w:r>
          </w:p>
          <w:p>
            <w:pPr>
              <w:pStyle w:val="4"/>
              <w:rPr>
                <w:rFonts w:asciiTheme="minorEastAsia" w:hAnsiTheme="minorEastAsia" w:cstheme="minorEastAsia"/>
                <w:szCs w:val="21"/>
              </w:rPr>
            </w:pPr>
            <w:r>
              <w:rPr>
                <w:rFonts w:hint="eastAsia" w:asciiTheme="minorEastAsia" w:hAnsiTheme="minorEastAsia" w:cstheme="minorEastAsia"/>
                <w:szCs w:val="21"/>
              </w:rPr>
              <w:t>6.严格遵守编写开发流程和编制要求。</w:t>
            </w:r>
          </w:p>
          <w:p>
            <w:pPr>
              <w:pStyle w:val="4"/>
              <w:rPr>
                <w:rFonts w:asciiTheme="minorEastAsia" w:hAnsiTheme="minorEastAsia" w:cstheme="minorEastAsia"/>
                <w:b/>
                <w:bCs/>
                <w:szCs w:val="21"/>
              </w:rPr>
            </w:pPr>
            <w:r>
              <w:rPr>
                <w:rFonts w:hint="eastAsia" w:asciiTheme="minorEastAsia" w:hAnsiTheme="minorEastAsia" w:cstheme="minorEastAsia"/>
                <w:b/>
                <w:bCs/>
                <w:szCs w:val="21"/>
              </w:rPr>
              <w:t>(三)教材审定工作</w:t>
            </w:r>
          </w:p>
          <w:p>
            <w:pPr>
              <w:pStyle w:val="4"/>
              <w:rPr>
                <w:rFonts w:asciiTheme="minorEastAsia" w:hAnsiTheme="minorEastAsia" w:cstheme="minorEastAsia"/>
                <w:szCs w:val="21"/>
              </w:rPr>
            </w:pPr>
            <w:r>
              <w:rPr>
                <w:rFonts w:hint="eastAsia" w:asciiTheme="minorEastAsia" w:hAnsiTheme="minorEastAsia" w:cstheme="minorEastAsia"/>
                <w:szCs w:val="21"/>
              </w:rPr>
              <w:t>1.组织教材审核专家团队，专家团队成员应具有教材编撰经验、副高级及以上职称，成员不少于2人（专家团队人员不重复）。</w:t>
            </w:r>
          </w:p>
          <w:p>
            <w:pPr>
              <w:pStyle w:val="4"/>
              <w:rPr>
                <w:rFonts w:asciiTheme="minorEastAsia" w:hAnsiTheme="minorEastAsia" w:cstheme="minorEastAsia"/>
                <w:szCs w:val="21"/>
              </w:rPr>
            </w:pPr>
            <w:r>
              <w:rPr>
                <w:rFonts w:hint="eastAsia" w:asciiTheme="minorEastAsia" w:hAnsiTheme="minorEastAsia" w:cstheme="minorEastAsia"/>
                <w:szCs w:val="21"/>
              </w:rPr>
              <w:t>2.成交供应商组织专家团队共同审议教材的模块简介。</w:t>
            </w:r>
          </w:p>
          <w:p>
            <w:pPr>
              <w:pStyle w:val="4"/>
              <w:rPr>
                <w:rFonts w:asciiTheme="minorEastAsia" w:hAnsiTheme="minorEastAsia" w:cstheme="minorEastAsia"/>
                <w:szCs w:val="21"/>
              </w:rPr>
            </w:pPr>
            <w:r>
              <w:rPr>
                <w:rFonts w:hint="eastAsia" w:asciiTheme="minorEastAsia" w:hAnsiTheme="minorEastAsia" w:cstheme="minorEastAsia"/>
                <w:szCs w:val="21"/>
              </w:rPr>
              <w:t>3.教材编撰以专业标准、课程标准为指导，按照相关格式要求撰写正文，每完成一个模块内容，提交专家团队审阅。</w:t>
            </w:r>
          </w:p>
          <w:p>
            <w:pPr>
              <w:pStyle w:val="4"/>
              <w:rPr>
                <w:rFonts w:asciiTheme="minorEastAsia" w:hAnsiTheme="minorEastAsia" w:cstheme="minorEastAsia"/>
                <w:szCs w:val="21"/>
              </w:rPr>
            </w:pPr>
            <w:r>
              <w:rPr>
                <w:rFonts w:hint="eastAsia" w:asciiTheme="minorEastAsia" w:hAnsiTheme="minorEastAsia" w:cstheme="minorEastAsia"/>
                <w:szCs w:val="21"/>
              </w:rPr>
              <w:t>4.专家团队在审核时，一是应参照专业标准和课程标准要求，从教材观点、语言表达、文字运用、专业术语、符号和格式等方面进行重点把关，向教材编撰者反馈修改意见。二是对整体架构进行审核，包括段落、层次、结构、书稿内容、考题、互动练习、拓展知识窗、封面、前言、目录、正文、附录等，并将修改意见反馈至教材编写负责人。</w:t>
            </w:r>
          </w:p>
          <w:p>
            <w:pPr>
              <w:spacing w:after="156" w:afterLines="50" w:line="276" w:lineRule="auto"/>
              <w:jc w:val="left"/>
              <w:rPr>
                <w:rFonts w:asciiTheme="minorEastAsia" w:hAnsiTheme="minorEastAsia" w:cstheme="minorEastAsia"/>
                <w:szCs w:val="21"/>
              </w:rPr>
            </w:pPr>
            <w:r>
              <w:rPr>
                <w:rFonts w:hint="eastAsia" w:asciiTheme="minorEastAsia" w:hAnsiTheme="minorEastAsia" w:cstheme="minorEastAsia"/>
                <w:szCs w:val="21"/>
              </w:rPr>
              <w:t>5.本教材全部编撰完成，并经专家团队两次审核通过后，教材即可定稿。</w:t>
            </w:r>
          </w:p>
          <w:p>
            <w:pPr>
              <w:pStyle w:val="4"/>
              <w:rPr>
                <w:rFonts w:asciiTheme="minorEastAsia" w:hAnsiTheme="minorEastAsia" w:cstheme="minorEastAsia"/>
                <w:b/>
                <w:bCs/>
                <w:szCs w:val="21"/>
              </w:rPr>
            </w:pPr>
            <w:r>
              <w:rPr>
                <w:rFonts w:hint="eastAsia" w:asciiTheme="minorEastAsia" w:hAnsiTheme="minorEastAsia" w:cstheme="minorEastAsia"/>
                <w:b/>
                <w:bCs/>
                <w:szCs w:val="21"/>
              </w:rPr>
              <w:t>(四)资源建设标准</w:t>
            </w:r>
          </w:p>
          <w:p>
            <w:pPr>
              <w:rPr>
                <w:rFonts w:asciiTheme="minorEastAsia" w:hAnsiTheme="minorEastAsia" w:cstheme="minorEastAsia"/>
                <w:szCs w:val="21"/>
              </w:rPr>
            </w:pPr>
            <w:r>
              <w:rPr>
                <w:rFonts w:asciiTheme="minorEastAsia" w:hAnsiTheme="minorEastAsia" w:cstheme="minorEastAsia"/>
                <w:szCs w:val="21"/>
                <w:highlight w:val="yellow"/>
              </w:rPr>
              <w:t>1</w:t>
            </w:r>
            <w:r>
              <w:rPr>
                <w:rFonts w:hint="eastAsia" w:asciiTheme="minorEastAsia" w:hAnsiTheme="minorEastAsia" w:cstheme="minorEastAsia"/>
                <w:szCs w:val="21"/>
                <w:highlight w:val="yellow"/>
              </w:rPr>
              <w:t>.PPT制作规范</w:t>
            </w:r>
          </w:p>
          <w:p>
            <w:pPr>
              <w:pStyle w:val="4"/>
              <w:rPr>
                <w:rFonts w:asciiTheme="minorEastAsia" w:hAnsiTheme="minorEastAsia" w:cstheme="minorEastAsia"/>
                <w:szCs w:val="21"/>
              </w:rPr>
            </w:pPr>
            <w:r>
              <w:rPr>
                <w:rFonts w:hint="eastAsia" w:asciiTheme="minorEastAsia" w:hAnsiTheme="minorEastAsia" w:cstheme="minorEastAsia"/>
                <w:szCs w:val="21"/>
              </w:rPr>
              <w:t>（1）每个PPT 10页左右；</w:t>
            </w:r>
          </w:p>
          <w:p>
            <w:pPr>
              <w:pStyle w:val="4"/>
              <w:rPr>
                <w:rFonts w:asciiTheme="minorEastAsia" w:hAnsiTheme="minorEastAsia" w:cstheme="minorEastAsia"/>
                <w:szCs w:val="21"/>
              </w:rPr>
            </w:pPr>
            <w:r>
              <w:rPr>
                <w:rFonts w:hint="eastAsia" w:asciiTheme="minorEastAsia" w:hAnsiTheme="minorEastAsia" w:cstheme="minorEastAsia"/>
                <w:szCs w:val="21"/>
              </w:rPr>
              <w:t>（2）演示文稿（PPT）要求集文字、图形、图像、声音以及视频等多种媒体元素于一体，一般不使用纯文字的演示文稿（PPT）。</w:t>
            </w:r>
          </w:p>
          <w:p>
            <w:pPr>
              <w:pStyle w:val="4"/>
              <w:rPr>
                <w:rFonts w:asciiTheme="minorEastAsia" w:hAnsiTheme="minorEastAsia" w:cstheme="minorEastAsia"/>
                <w:szCs w:val="21"/>
              </w:rPr>
            </w:pPr>
            <w:r>
              <w:rPr>
                <w:rFonts w:hint="eastAsia" w:asciiTheme="minorEastAsia" w:hAnsiTheme="minorEastAsia" w:cstheme="minorEastAsia"/>
                <w:szCs w:val="21"/>
              </w:rPr>
              <w:t>（3）页面设置要求符合高清格式比例，幻灯片大小为“全屏显示16：9”。</w:t>
            </w:r>
          </w:p>
          <w:p>
            <w:pPr>
              <w:pStyle w:val="4"/>
              <w:rPr>
                <w:rFonts w:asciiTheme="minorEastAsia" w:hAnsiTheme="minorEastAsia" w:cstheme="minorEastAsia"/>
                <w:szCs w:val="21"/>
              </w:rPr>
            </w:pPr>
            <w:r>
              <w:rPr>
                <w:rFonts w:hint="eastAsia" w:asciiTheme="minorEastAsia" w:hAnsiTheme="minorEastAsia" w:cstheme="minorEastAsia"/>
                <w:szCs w:val="21"/>
              </w:rPr>
              <w:t>（4）整体效果应风格统一、色彩协调、美观大方。</w:t>
            </w:r>
          </w:p>
          <w:p>
            <w:pPr>
              <w:pStyle w:val="4"/>
              <w:rPr>
                <w:rFonts w:asciiTheme="minorEastAsia" w:hAnsiTheme="minorEastAsia" w:cstheme="minorEastAsia"/>
                <w:szCs w:val="21"/>
              </w:rPr>
            </w:pPr>
            <w:r>
              <w:rPr>
                <w:rFonts w:hint="eastAsia" w:asciiTheme="minorEastAsia" w:hAnsiTheme="minorEastAsia" w:cstheme="minorEastAsia"/>
                <w:szCs w:val="21"/>
              </w:rPr>
              <w:t>（5）每页四周留出空白，应避免内容顶到页面边缘，边界安全区域分别为左、右130像素内，上、下90像素内。</w:t>
            </w:r>
          </w:p>
          <w:p>
            <w:pPr>
              <w:pStyle w:val="4"/>
              <w:rPr>
                <w:rFonts w:asciiTheme="minorEastAsia" w:hAnsiTheme="minorEastAsia" w:cstheme="minorEastAsia"/>
                <w:szCs w:val="21"/>
              </w:rPr>
            </w:pPr>
            <w:r>
              <w:rPr>
                <w:rFonts w:hint="eastAsia" w:asciiTheme="minorEastAsia" w:hAnsiTheme="minorEastAsia" w:cstheme="minorEastAsia"/>
                <w:szCs w:val="21"/>
              </w:rPr>
              <w:t>（6）色彩的选配应与课程科目相吻合，背景色以简洁适中饱和度为主，文字、图形等内容应与背景对比醒目，同一屏里文字不宜超出三种颜色。</w:t>
            </w:r>
          </w:p>
          <w:p>
            <w:pPr>
              <w:pStyle w:val="4"/>
              <w:rPr>
                <w:rFonts w:asciiTheme="minorEastAsia" w:hAnsiTheme="minorEastAsia" w:cstheme="minorEastAsia"/>
                <w:szCs w:val="21"/>
              </w:rPr>
            </w:pPr>
            <w:r>
              <w:rPr>
                <w:rFonts w:hint="eastAsia" w:asciiTheme="minorEastAsia" w:hAnsiTheme="minorEastAsia" w:cstheme="minorEastAsia"/>
                <w:szCs w:val="21"/>
              </w:rPr>
              <w:t>（7）图像应清晰并能反映出内容主题思想，通俗易懂，便于理解，分辨率应上72dpi以上。</w:t>
            </w:r>
          </w:p>
          <w:p>
            <w:pPr>
              <w:pStyle w:val="4"/>
              <w:rPr>
                <w:rFonts w:asciiTheme="minorEastAsia" w:hAnsiTheme="minorEastAsia" w:cstheme="minorEastAsia"/>
                <w:szCs w:val="21"/>
              </w:rPr>
            </w:pPr>
            <w:r>
              <w:rPr>
                <w:rFonts w:hint="eastAsia" w:asciiTheme="minorEastAsia" w:hAnsiTheme="minorEastAsia" w:cstheme="minorEastAsia"/>
                <w:szCs w:val="21"/>
              </w:rPr>
              <w:t>（8）素材选用注意版权，涉及版权问题须加入“版权来源”信息。</w:t>
            </w:r>
          </w:p>
          <w:p>
            <w:pPr>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.教案</w:t>
            </w:r>
          </w:p>
          <w:p>
            <w:pPr>
              <w:pStyle w:val="4"/>
              <w:rPr>
                <w:rFonts w:asciiTheme="minorEastAsia" w:hAnsiTheme="minorEastAsia" w:cstheme="minorEastAsia"/>
                <w:szCs w:val="21"/>
              </w:rPr>
            </w:pPr>
            <w:r>
              <w:rPr>
                <w:rFonts w:hint="eastAsia" w:asciiTheme="minorEastAsia" w:hAnsiTheme="minorEastAsia" w:cstheme="minorEastAsia"/>
                <w:szCs w:val="21"/>
              </w:rPr>
              <w:t>（1）组织团队成员以任务为单位撰写教案；</w:t>
            </w:r>
          </w:p>
          <w:p>
            <w:pPr>
              <w:pStyle w:val="4"/>
              <w:rPr>
                <w:rFonts w:asciiTheme="minorEastAsia" w:hAnsiTheme="minorEastAsia" w:cstheme="minorEastAsia"/>
                <w:szCs w:val="21"/>
              </w:rPr>
            </w:pPr>
            <w:r>
              <w:rPr>
                <w:rFonts w:hint="eastAsia" w:asciiTheme="minorEastAsia" w:hAnsiTheme="minorEastAsia" w:cstheme="minorEastAsia"/>
                <w:szCs w:val="21"/>
              </w:rPr>
              <w:t>（2）教案应包含不限于：课题名称、教学目标、教学重难点、教学过程等要素。</w:t>
            </w:r>
          </w:p>
          <w:p>
            <w:pPr>
              <w:pStyle w:val="4"/>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w:t>
            </w:r>
            <w:r>
              <w:rPr>
                <w:rFonts w:hint="eastAsia" w:asciiTheme="minorEastAsia" w:hAnsiTheme="minorEastAsia" w:cstheme="minorEastAsia"/>
                <w:szCs w:val="21"/>
              </w:rPr>
              <w:t>题库</w:t>
            </w:r>
          </w:p>
          <w:p>
            <w:pPr>
              <w:pStyle w:val="4"/>
              <w:rPr>
                <w:rFonts w:asciiTheme="minorEastAsia" w:hAnsiTheme="minorEastAsia" w:cstheme="minorEastAsia"/>
                <w:szCs w:val="21"/>
              </w:rPr>
            </w:pPr>
            <w:r>
              <w:rPr>
                <w:rFonts w:hint="eastAsia" w:asciiTheme="minorEastAsia" w:hAnsiTheme="minorEastAsia" w:cstheme="minorEastAsia"/>
                <w:szCs w:val="21"/>
              </w:rPr>
              <w:t>（1）诊断考试题X</w:t>
            </w:r>
            <w:r>
              <w:rPr>
                <w:rFonts w:asciiTheme="minorEastAsia" w:hAnsiTheme="minorEastAsia" w:cstheme="minorEastAsia"/>
                <w:szCs w:val="21"/>
              </w:rPr>
              <w:t>X</w:t>
            </w:r>
            <w:r>
              <w:rPr>
                <w:rFonts w:hint="eastAsia" w:asciiTheme="minorEastAsia" w:hAnsiTheme="minorEastAsia" w:cstheme="minorEastAsia"/>
                <w:szCs w:val="21"/>
              </w:rPr>
              <w:t>套。</w:t>
            </w:r>
            <w:r>
              <w:rPr>
                <w:rFonts w:asciiTheme="minorEastAsia" w:hAnsiTheme="minorEastAsia" w:cstheme="minorEastAsia"/>
                <w:szCs w:val="21"/>
              </w:rPr>
              <w:t>由专家按照职教高考题型出题、赋分，直接交学校分管副校长，开展诊断考试；考试后，指导教研组开展教学质量分析，提出教学改进意见。24、25、26年每年开展3次调研考试。</w:t>
            </w:r>
          </w:p>
          <w:p>
            <w:pPr>
              <w:pStyle w:val="4"/>
              <w:rPr>
                <w:rFonts w:asciiTheme="minorEastAsia" w:hAnsiTheme="minorEastAsia" w:cstheme="minorEastAsia"/>
                <w:szCs w:val="21"/>
              </w:rPr>
            </w:pPr>
            <w:r>
              <w:rPr>
                <w:rFonts w:hint="eastAsia" w:asciiTheme="minorEastAsia" w:hAnsiTheme="minorEastAsia" w:cstheme="minorEastAsia"/>
                <w:szCs w:val="21"/>
              </w:rPr>
              <w:t>（2）模拟考试题X</w:t>
            </w:r>
            <w:r>
              <w:rPr>
                <w:rFonts w:asciiTheme="minorEastAsia" w:hAnsiTheme="minorEastAsia" w:cstheme="minorEastAsia"/>
                <w:szCs w:val="21"/>
              </w:rPr>
              <w:t>XX</w:t>
            </w:r>
            <w:r>
              <w:rPr>
                <w:rFonts w:hint="eastAsia" w:asciiTheme="minorEastAsia" w:hAnsiTheme="minorEastAsia" w:cstheme="minorEastAsia"/>
                <w:szCs w:val="21"/>
              </w:rPr>
              <w:t>套。</w:t>
            </w:r>
            <w:r>
              <w:rPr>
                <w:rFonts w:asciiTheme="minorEastAsia" w:hAnsiTheme="minorEastAsia" w:cstheme="minorEastAsia"/>
                <w:szCs w:val="21"/>
              </w:rPr>
              <w:t>由专家指导学科教研组，根据《课程标准》《教材》内容出题，交指导专家审核；审核后，交任课教师，供师生使用。</w:t>
            </w:r>
          </w:p>
          <w:p>
            <w:pPr>
              <w:pStyle w:val="4"/>
              <w:rPr>
                <w:rFonts w:asciiTheme="minorEastAsia" w:hAnsiTheme="minorEastAsia" w:cstheme="minorEastAsia"/>
                <w:szCs w:val="21"/>
              </w:rPr>
            </w:pPr>
            <w:r>
              <w:rPr>
                <w:rFonts w:hint="eastAsia" w:asciiTheme="minorEastAsia" w:hAnsiTheme="minorEastAsia" w:cstheme="minorEastAsia"/>
                <w:szCs w:val="21"/>
              </w:rPr>
              <w:t>（3）平时练习题X</w:t>
            </w:r>
            <w:r>
              <w:rPr>
                <w:rFonts w:asciiTheme="minorEastAsia" w:hAnsiTheme="minorEastAsia" w:cstheme="minorEastAsia"/>
                <w:szCs w:val="21"/>
              </w:rPr>
              <w:t>XX</w:t>
            </w:r>
            <w:r>
              <w:rPr>
                <w:rFonts w:hint="eastAsia" w:asciiTheme="minorEastAsia" w:hAnsiTheme="minorEastAsia" w:cstheme="minorEastAsia"/>
                <w:szCs w:val="21"/>
              </w:rPr>
              <w:t>道。</w:t>
            </w:r>
            <w:r>
              <w:rPr>
                <w:rFonts w:asciiTheme="minorEastAsia" w:hAnsiTheme="minorEastAsia" w:cstheme="minorEastAsia"/>
                <w:szCs w:val="21"/>
              </w:rPr>
              <w:t>按照《课程标准》《教材》要求，由任课教师出具课堂练习题，单元检测题；交指导专家审核；审核后，交任课教师，供师生使用。</w:t>
            </w:r>
          </w:p>
          <w:p>
            <w:pPr>
              <w:spacing w:after="156" w:afterLines="50" w:line="30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szCs w:val="21"/>
              </w:rPr>
              <w:t>（五）</w:t>
            </w:r>
            <w:r>
              <w:rPr>
                <w:rFonts w:hint="eastAsia" w:asciiTheme="minorEastAsia" w:hAnsiTheme="minorEastAsia" w:cstheme="minorEastAsia"/>
                <w:b/>
                <w:bCs/>
                <w:color w:val="000000" w:themeColor="text1"/>
                <w:szCs w:val="21"/>
                <w14:textFill>
                  <w14:solidFill>
                    <w14:schemeClr w14:val="tx1"/>
                  </w14:solidFill>
                </w14:textFill>
              </w:rPr>
              <w:t>交付成果</w:t>
            </w:r>
          </w:p>
          <w:p>
            <w:pPr>
              <w:spacing w:after="156" w:afterLines="50" w:line="300" w:lineRule="auto"/>
              <w:rPr>
                <w:rFonts w:asciiTheme="minorEastAsia" w:hAnsiTheme="minorEastAsia" w:cstheme="minorEastAsia"/>
                <w:szCs w:val="21"/>
              </w:rPr>
            </w:pPr>
            <w:r>
              <w:rPr>
                <w:rFonts w:hint="eastAsia" w:asciiTheme="minorEastAsia" w:hAnsiTheme="minorEastAsia" w:cstheme="minorEastAsia"/>
                <w:szCs w:val="21"/>
              </w:rPr>
              <w:t>提供装订好的《汽车类对口升学应知校本教材》</w:t>
            </w:r>
            <w:r>
              <w:rPr>
                <w:rFonts w:hint="eastAsia" w:asciiTheme="minorEastAsia" w:hAnsiTheme="minorEastAsia" w:cstheme="minorEastAsia"/>
                <w:szCs w:val="21"/>
                <w:lang w:eastAsia="zh-Hans"/>
              </w:rPr>
              <w:t>教材</w:t>
            </w:r>
            <w:r>
              <w:rPr>
                <w:rFonts w:hint="eastAsia" w:asciiTheme="minorEastAsia" w:hAnsiTheme="minorEastAsia" w:cstheme="minorEastAsia"/>
                <w:szCs w:val="21"/>
              </w:rPr>
              <w:t>样书10册，同时向学校提供定稿并排版后的电子文档1份。</w:t>
            </w:r>
          </w:p>
        </w:tc>
      </w:tr>
      <w:tr>
        <w:tblPrEx>
          <w:tblCellMar>
            <w:top w:w="0" w:type="dxa"/>
            <w:left w:w="108" w:type="dxa"/>
            <w:bottom w:w="0" w:type="dxa"/>
            <w:right w:w="108" w:type="dxa"/>
          </w:tblCellMar>
        </w:tblPrEx>
        <w:trPr>
          <w:trHeight w:val="90"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rPr>
            </w:pPr>
            <w:r>
              <w:rPr>
                <w:rFonts w:hint="eastAsia" w:ascii="宋体" w:hAnsi="宋体" w:eastAsia="宋体" w:cs="宋体"/>
              </w:rPr>
              <w:t>汽车类对口升学应会校本教材</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cstheme="minorEastAsia"/>
                <w:color w:val="000000"/>
              </w:rPr>
            </w:pPr>
            <w:r>
              <w:rPr>
                <w:rFonts w:hint="eastAsia" w:asciiTheme="minorEastAsia" w:hAnsiTheme="minorEastAsia" w:cstheme="minorEastAsia"/>
                <w:color w:val="000000"/>
              </w:rPr>
              <w:t>1部</w:t>
            </w:r>
          </w:p>
        </w:tc>
        <w:tc>
          <w:tcPr>
            <w:tcW w:w="5867" w:type="dxa"/>
            <w:tcBorders>
              <w:top w:val="single" w:color="000000" w:sz="4" w:space="0"/>
              <w:left w:val="single" w:color="000000" w:sz="4" w:space="0"/>
              <w:bottom w:val="single" w:color="000000" w:sz="4" w:space="0"/>
              <w:right w:val="single" w:color="000000" w:sz="4" w:space="0"/>
            </w:tcBorders>
            <w:shd w:val="clear" w:color="auto" w:fill="auto"/>
          </w:tcPr>
          <w:p>
            <w:pPr>
              <w:pStyle w:val="4"/>
              <w:rPr>
                <w:rFonts w:asciiTheme="minorEastAsia" w:hAnsiTheme="minorEastAsia" w:cstheme="minorEastAsia"/>
                <w:b/>
                <w:bCs/>
                <w:szCs w:val="21"/>
              </w:rPr>
            </w:pPr>
            <w:r>
              <w:rPr>
                <w:rFonts w:hint="eastAsia" w:asciiTheme="minorEastAsia" w:hAnsiTheme="minorEastAsia" w:cstheme="minorEastAsia"/>
                <w:b/>
                <w:bCs/>
                <w:szCs w:val="21"/>
              </w:rPr>
              <w:t>（一）服务内容</w:t>
            </w:r>
          </w:p>
          <w:p>
            <w:pPr>
              <w:rPr>
                <w:rFonts w:asciiTheme="minorEastAsia" w:hAnsiTheme="minorEastAsia" w:cstheme="minorEastAsia"/>
                <w:szCs w:val="21"/>
              </w:rPr>
            </w:pPr>
            <w:r>
              <w:rPr>
                <w:rFonts w:hint="eastAsia" w:asciiTheme="minorEastAsia" w:hAnsiTheme="minorEastAsia" w:cstheme="minorEastAsia"/>
                <w:szCs w:val="21"/>
              </w:rPr>
              <w:t>1.负责项目统筹，联系专家、校方，组织培训、指导等沟通工作</w:t>
            </w:r>
          </w:p>
          <w:p>
            <w:pPr>
              <w:pStyle w:val="4"/>
              <w:rPr>
                <w:rFonts w:asciiTheme="minorEastAsia" w:hAnsiTheme="minorEastAsia" w:cstheme="minorEastAsia"/>
                <w:szCs w:val="21"/>
              </w:rPr>
            </w:pPr>
            <w:r>
              <w:rPr>
                <w:rFonts w:hint="eastAsia" w:asciiTheme="minorEastAsia" w:hAnsiTheme="minorEastAsia" w:cstheme="minorEastAsia"/>
                <w:szCs w:val="21"/>
              </w:rPr>
              <w:t>2.配合主编及专家推进项目进度</w:t>
            </w:r>
          </w:p>
          <w:p>
            <w:pPr>
              <w:rPr>
                <w:rFonts w:asciiTheme="minorEastAsia" w:hAnsiTheme="minorEastAsia" w:cstheme="minorEastAsia"/>
                <w:szCs w:val="21"/>
              </w:rPr>
            </w:pPr>
            <w:r>
              <w:rPr>
                <w:rFonts w:hint="eastAsia" w:asciiTheme="minorEastAsia" w:hAnsiTheme="minorEastAsia" w:cstheme="minorEastAsia"/>
                <w:szCs w:val="21"/>
              </w:rPr>
              <w:t>3.美化排版</w:t>
            </w:r>
          </w:p>
          <w:p>
            <w:pPr>
              <w:pStyle w:val="4"/>
              <w:rPr>
                <w:rFonts w:asciiTheme="minorEastAsia" w:hAnsiTheme="minorEastAsia" w:cstheme="minorEastAsia"/>
                <w:b/>
                <w:bCs/>
                <w:szCs w:val="21"/>
              </w:rPr>
            </w:pPr>
            <w:r>
              <w:rPr>
                <w:rFonts w:hint="eastAsia" w:asciiTheme="minorEastAsia" w:hAnsiTheme="minorEastAsia" w:cstheme="minorEastAsia"/>
                <w:b/>
                <w:bCs/>
                <w:szCs w:val="21"/>
              </w:rPr>
              <w:t>(二)技术要求</w:t>
            </w:r>
          </w:p>
          <w:p>
            <w:pPr>
              <w:pStyle w:val="4"/>
              <w:rPr>
                <w:rFonts w:asciiTheme="minorEastAsia" w:hAnsiTheme="minorEastAsia" w:cstheme="minorEastAsia"/>
                <w:szCs w:val="21"/>
              </w:rPr>
            </w:pPr>
            <w:r>
              <w:rPr>
                <w:rFonts w:hint="eastAsia" w:asciiTheme="minorEastAsia" w:hAnsiTheme="minorEastAsia" w:cstheme="minorEastAsia"/>
                <w:szCs w:val="21"/>
              </w:rPr>
              <w:t>1.教材内容既要对接国家及行业最新标准，又要有利于落实专业人才培养方案，尤其要注重培养学生学科（专业）核心素养。</w:t>
            </w:r>
          </w:p>
          <w:p>
            <w:pPr>
              <w:pStyle w:val="4"/>
              <w:rPr>
                <w:rFonts w:asciiTheme="minorEastAsia" w:hAnsiTheme="minorEastAsia" w:cstheme="minorEastAsia"/>
                <w:szCs w:val="21"/>
              </w:rPr>
            </w:pPr>
            <w:r>
              <w:rPr>
                <w:rFonts w:hint="eastAsia" w:asciiTheme="minorEastAsia" w:hAnsiTheme="minorEastAsia" w:cstheme="minorEastAsia"/>
                <w:szCs w:val="21"/>
              </w:rPr>
              <w:t>2.教材编写形式力求多样化。在编写过程，应融入现代教学方法和教育理念，注重教材的实用性。</w:t>
            </w:r>
          </w:p>
          <w:p>
            <w:pPr>
              <w:pStyle w:val="4"/>
              <w:rPr>
                <w:rFonts w:asciiTheme="minorEastAsia" w:hAnsiTheme="minorEastAsia" w:cstheme="minorEastAsia"/>
                <w:szCs w:val="21"/>
              </w:rPr>
            </w:pPr>
            <w:r>
              <w:rPr>
                <w:rFonts w:hint="eastAsia" w:asciiTheme="minorEastAsia" w:hAnsiTheme="minorEastAsia" w:cstheme="minorEastAsia"/>
                <w:szCs w:val="21"/>
              </w:rPr>
              <w:t>3.教材应结合中职生源情况，简单化、实用化、实践化，淡化理论教学，重视实践教学，着重培养学生的基本能力、专业能力。</w:t>
            </w:r>
          </w:p>
          <w:p>
            <w:pPr>
              <w:pStyle w:val="4"/>
              <w:rPr>
                <w:rFonts w:asciiTheme="minorEastAsia" w:hAnsiTheme="minorEastAsia" w:cstheme="minorEastAsia"/>
                <w:szCs w:val="21"/>
              </w:rPr>
            </w:pPr>
            <w:r>
              <w:rPr>
                <w:rFonts w:hint="eastAsia" w:asciiTheme="minorEastAsia" w:hAnsiTheme="minorEastAsia" w:cstheme="minorEastAsia"/>
                <w:szCs w:val="21"/>
              </w:rPr>
              <w:t>4.教材应符合四川省普通高校对口招生职业技能考试大纲汽车类（2</w:t>
            </w:r>
            <w:r>
              <w:rPr>
                <w:rFonts w:asciiTheme="minorEastAsia" w:hAnsiTheme="minorEastAsia" w:cstheme="minorEastAsia"/>
                <w:szCs w:val="21"/>
              </w:rPr>
              <w:t>023</w:t>
            </w:r>
            <w:r>
              <w:rPr>
                <w:rFonts w:hint="eastAsia" w:asciiTheme="minorEastAsia" w:hAnsiTheme="minorEastAsia" w:cstheme="minorEastAsia"/>
                <w:szCs w:val="21"/>
              </w:rPr>
              <w:t>年版）第二部分技能操作（应会）内容要求。</w:t>
            </w:r>
          </w:p>
          <w:p>
            <w:pPr>
              <w:pStyle w:val="4"/>
              <w:rPr>
                <w:rFonts w:asciiTheme="minorEastAsia" w:hAnsiTheme="minorEastAsia" w:cstheme="minorEastAsia"/>
                <w:szCs w:val="21"/>
              </w:rPr>
            </w:pPr>
            <w:r>
              <w:rPr>
                <w:rFonts w:hint="eastAsia" w:asciiTheme="minorEastAsia" w:hAnsiTheme="minorEastAsia" w:cstheme="minorEastAsia"/>
                <w:szCs w:val="21"/>
              </w:rPr>
              <w:t>5.教材应与生产实践相结合，突出前瞻性、指导性、可操作性；教材观点正确，用词准确，语言表述清楚。段落清晰，层次分明；结构完整，书稿内容包括内封面、前言、目录、正文、附录等。</w:t>
            </w:r>
          </w:p>
          <w:p>
            <w:pPr>
              <w:pStyle w:val="4"/>
              <w:rPr>
                <w:rFonts w:asciiTheme="minorEastAsia" w:hAnsiTheme="minorEastAsia" w:cstheme="minorEastAsia"/>
                <w:szCs w:val="21"/>
              </w:rPr>
            </w:pPr>
            <w:r>
              <w:rPr>
                <w:rFonts w:hint="eastAsia" w:asciiTheme="minorEastAsia" w:hAnsiTheme="minorEastAsia" w:cstheme="minorEastAsia"/>
                <w:szCs w:val="21"/>
              </w:rPr>
              <w:t>6.严格遵守编写开发流程和编制要求。</w:t>
            </w:r>
          </w:p>
          <w:p>
            <w:pPr>
              <w:pStyle w:val="4"/>
              <w:rPr>
                <w:rFonts w:asciiTheme="minorEastAsia" w:hAnsiTheme="minorEastAsia" w:cstheme="minorEastAsia"/>
                <w:b/>
                <w:bCs/>
                <w:szCs w:val="21"/>
              </w:rPr>
            </w:pPr>
            <w:r>
              <w:rPr>
                <w:rFonts w:hint="eastAsia" w:asciiTheme="minorEastAsia" w:hAnsiTheme="minorEastAsia" w:cstheme="minorEastAsia"/>
                <w:b/>
                <w:bCs/>
                <w:szCs w:val="21"/>
              </w:rPr>
              <w:t>(三)教材审定工作</w:t>
            </w:r>
          </w:p>
          <w:p>
            <w:pPr>
              <w:pStyle w:val="4"/>
              <w:rPr>
                <w:rFonts w:asciiTheme="minorEastAsia" w:hAnsiTheme="minorEastAsia" w:cstheme="minorEastAsia"/>
                <w:szCs w:val="21"/>
              </w:rPr>
            </w:pPr>
            <w:r>
              <w:rPr>
                <w:rFonts w:hint="eastAsia" w:asciiTheme="minorEastAsia" w:hAnsiTheme="minorEastAsia" w:cstheme="minorEastAsia"/>
                <w:szCs w:val="21"/>
              </w:rPr>
              <w:t>1.组织教材审核专家团队，专家团队成员应具有教材编撰经验、副高级及以上职称，成员不少于2人（专家团队人员不重复）。</w:t>
            </w:r>
          </w:p>
          <w:p>
            <w:pPr>
              <w:pStyle w:val="4"/>
              <w:rPr>
                <w:rFonts w:asciiTheme="minorEastAsia" w:hAnsiTheme="minorEastAsia" w:cstheme="minorEastAsia"/>
                <w:szCs w:val="21"/>
              </w:rPr>
            </w:pPr>
            <w:r>
              <w:rPr>
                <w:rFonts w:hint="eastAsia" w:asciiTheme="minorEastAsia" w:hAnsiTheme="minorEastAsia" w:cstheme="minorEastAsia"/>
                <w:szCs w:val="21"/>
              </w:rPr>
              <w:t>2.成交供应商组织专家团队共同审议教材的模块简介。</w:t>
            </w:r>
          </w:p>
          <w:p>
            <w:pPr>
              <w:pStyle w:val="4"/>
              <w:rPr>
                <w:rFonts w:asciiTheme="minorEastAsia" w:hAnsiTheme="minorEastAsia" w:cstheme="minorEastAsia"/>
                <w:szCs w:val="21"/>
              </w:rPr>
            </w:pPr>
            <w:r>
              <w:rPr>
                <w:rFonts w:hint="eastAsia" w:asciiTheme="minorEastAsia" w:hAnsiTheme="minorEastAsia" w:cstheme="minorEastAsia"/>
                <w:szCs w:val="21"/>
              </w:rPr>
              <w:t>3.教材编撰以《四川省普通高校对口招生职业技能考试大纲汽车类（</w:t>
            </w:r>
            <w:r>
              <w:rPr>
                <w:rFonts w:asciiTheme="minorEastAsia" w:hAnsiTheme="minorEastAsia" w:cstheme="minorEastAsia"/>
                <w:szCs w:val="21"/>
              </w:rPr>
              <w:t>2023年版）第二部分技能操作（应会）</w:t>
            </w:r>
            <w:r>
              <w:rPr>
                <w:rFonts w:hint="eastAsia" w:asciiTheme="minorEastAsia" w:hAnsiTheme="minorEastAsia" w:cstheme="minorEastAsia"/>
                <w:szCs w:val="21"/>
              </w:rPr>
              <w:t>》为指导，按照相关格式要求撰写正文，每完成一个模块内容，提交专家团队审阅。</w:t>
            </w:r>
          </w:p>
          <w:p>
            <w:pPr>
              <w:pStyle w:val="4"/>
              <w:rPr>
                <w:rFonts w:asciiTheme="minorEastAsia" w:hAnsiTheme="minorEastAsia" w:cstheme="minorEastAsia"/>
                <w:szCs w:val="21"/>
              </w:rPr>
            </w:pPr>
            <w:r>
              <w:rPr>
                <w:rFonts w:hint="eastAsia" w:asciiTheme="minorEastAsia" w:hAnsiTheme="minorEastAsia" w:cstheme="minorEastAsia"/>
                <w:szCs w:val="21"/>
              </w:rPr>
              <w:t>4.专家团队在审核时，一是应参照专业标准和课程标准要求，从教材观点、语言表达、文字运用、专业术语、符号和格式等方面进行重点把关，向教材编撰者反馈修改意见。二是对整体架构进行审核，包括段落、层次、结构、书稿内容、考题、互动练习、拓展知识窗、封面、前言、目录、正文、附录等，并将修改意见反馈至教材编写负责人。</w:t>
            </w:r>
          </w:p>
          <w:p>
            <w:pPr>
              <w:spacing w:after="156" w:afterLines="50" w:line="276" w:lineRule="auto"/>
              <w:jc w:val="left"/>
              <w:rPr>
                <w:rFonts w:asciiTheme="minorEastAsia" w:hAnsiTheme="minorEastAsia" w:cstheme="minorEastAsia"/>
                <w:szCs w:val="21"/>
              </w:rPr>
            </w:pPr>
            <w:r>
              <w:rPr>
                <w:rFonts w:hint="eastAsia" w:asciiTheme="minorEastAsia" w:hAnsiTheme="minorEastAsia" w:cstheme="minorEastAsia"/>
                <w:szCs w:val="21"/>
              </w:rPr>
              <w:t>5.本教材全部编撰完成，并经专家团队两次审核通过后，教材即可定稿。</w:t>
            </w:r>
          </w:p>
          <w:p>
            <w:pPr>
              <w:pStyle w:val="4"/>
              <w:rPr>
                <w:rFonts w:asciiTheme="minorEastAsia" w:hAnsiTheme="minorEastAsia" w:cstheme="minorEastAsia"/>
                <w:b/>
                <w:bCs/>
                <w:szCs w:val="21"/>
              </w:rPr>
            </w:pPr>
            <w:r>
              <w:rPr>
                <w:rFonts w:hint="eastAsia" w:asciiTheme="minorEastAsia" w:hAnsiTheme="minorEastAsia" w:cstheme="minorEastAsia"/>
                <w:b/>
                <w:bCs/>
                <w:szCs w:val="21"/>
              </w:rPr>
              <w:t>(四)资源建设标准</w:t>
            </w:r>
          </w:p>
          <w:p>
            <w:pPr>
              <w:rPr>
                <w:rFonts w:asciiTheme="minorEastAsia" w:hAnsiTheme="minorEastAsia" w:cstheme="minorEastAsia"/>
                <w:szCs w:val="21"/>
              </w:rPr>
            </w:pPr>
            <w:r>
              <w:rPr>
                <w:rFonts w:asciiTheme="minorEastAsia" w:hAnsiTheme="minorEastAsia" w:cstheme="minorEastAsia"/>
                <w:szCs w:val="21"/>
                <w:highlight w:val="yellow"/>
              </w:rPr>
              <w:t>1</w:t>
            </w:r>
            <w:r>
              <w:rPr>
                <w:rFonts w:hint="eastAsia" w:asciiTheme="minorEastAsia" w:hAnsiTheme="minorEastAsia" w:cstheme="minorEastAsia"/>
                <w:szCs w:val="21"/>
                <w:highlight w:val="yellow"/>
              </w:rPr>
              <w:t>.PPT制作规范</w:t>
            </w:r>
          </w:p>
          <w:p>
            <w:pPr>
              <w:pStyle w:val="4"/>
              <w:rPr>
                <w:rFonts w:asciiTheme="minorEastAsia" w:hAnsiTheme="minorEastAsia" w:cstheme="minorEastAsia"/>
                <w:szCs w:val="21"/>
              </w:rPr>
            </w:pPr>
            <w:r>
              <w:rPr>
                <w:rFonts w:hint="eastAsia" w:asciiTheme="minorEastAsia" w:hAnsiTheme="minorEastAsia" w:cstheme="minorEastAsia"/>
                <w:szCs w:val="21"/>
              </w:rPr>
              <w:t>（1）每个PPT 10页左右；</w:t>
            </w:r>
          </w:p>
          <w:p>
            <w:pPr>
              <w:pStyle w:val="4"/>
              <w:rPr>
                <w:rFonts w:asciiTheme="minorEastAsia" w:hAnsiTheme="minorEastAsia" w:cstheme="minorEastAsia"/>
                <w:szCs w:val="21"/>
              </w:rPr>
            </w:pPr>
            <w:r>
              <w:rPr>
                <w:rFonts w:hint="eastAsia" w:asciiTheme="minorEastAsia" w:hAnsiTheme="minorEastAsia" w:cstheme="minorEastAsia"/>
                <w:szCs w:val="21"/>
              </w:rPr>
              <w:t>（2）演示文稿（PPT）要求集文字、图形、图像、声音以及视频等多种媒体元素于一体，一般不使用纯文字的演示文稿（PPT）。</w:t>
            </w:r>
          </w:p>
          <w:p>
            <w:pPr>
              <w:pStyle w:val="4"/>
              <w:rPr>
                <w:rFonts w:asciiTheme="minorEastAsia" w:hAnsiTheme="minorEastAsia" w:cstheme="minorEastAsia"/>
                <w:szCs w:val="21"/>
              </w:rPr>
            </w:pPr>
            <w:r>
              <w:rPr>
                <w:rFonts w:hint="eastAsia" w:asciiTheme="minorEastAsia" w:hAnsiTheme="minorEastAsia" w:cstheme="minorEastAsia"/>
                <w:szCs w:val="21"/>
              </w:rPr>
              <w:t>（3）页面设置要求符合高清格式比例，幻灯片大小为“全屏显示16：9”。</w:t>
            </w:r>
          </w:p>
          <w:p>
            <w:pPr>
              <w:pStyle w:val="4"/>
              <w:rPr>
                <w:rFonts w:asciiTheme="minorEastAsia" w:hAnsiTheme="minorEastAsia" w:cstheme="minorEastAsia"/>
                <w:szCs w:val="21"/>
              </w:rPr>
            </w:pPr>
            <w:r>
              <w:rPr>
                <w:rFonts w:hint="eastAsia" w:asciiTheme="minorEastAsia" w:hAnsiTheme="minorEastAsia" w:cstheme="minorEastAsia"/>
                <w:szCs w:val="21"/>
              </w:rPr>
              <w:t>（4）整体效果应风格统一、色彩协调、美观大方。</w:t>
            </w:r>
          </w:p>
          <w:p>
            <w:pPr>
              <w:pStyle w:val="4"/>
              <w:rPr>
                <w:rFonts w:asciiTheme="minorEastAsia" w:hAnsiTheme="minorEastAsia" w:cstheme="minorEastAsia"/>
                <w:szCs w:val="21"/>
              </w:rPr>
            </w:pPr>
            <w:r>
              <w:rPr>
                <w:rFonts w:hint="eastAsia" w:asciiTheme="minorEastAsia" w:hAnsiTheme="minorEastAsia" w:cstheme="minorEastAsia"/>
                <w:szCs w:val="21"/>
              </w:rPr>
              <w:t>（5）每页四周留出空白，应避免内容顶到页面边缘，边界安全区域分别为左、右130像素内，上、下90像素内。</w:t>
            </w:r>
          </w:p>
          <w:p>
            <w:pPr>
              <w:pStyle w:val="4"/>
              <w:rPr>
                <w:rFonts w:asciiTheme="minorEastAsia" w:hAnsiTheme="minorEastAsia" w:cstheme="minorEastAsia"/>
                <w:szCs w:val="21"/>
              </w:rPr>
            </w:pPr>
            <w:r>
              <w:rPr>
                <w:rFonts w:hint="eastAsia" w:asciiTheme="minorEastAsia" w:hAnsiTheme="minorEastAsia" w:cstheme="minorEastAsia"/>
                <w:szCs w:val="21"/>
              </w:rPr>
              <w:t>（6）色彩的选配应与课程科目相吻合，背景色以简洁适中饱和度为主，文字、图形等内容应与背景对比醒目，同一屏里文字不宜超出三种颜色。</w:t>
            </w:r>
          </w:p>
          <w:p>
            <w:pPr>
              <w:pStyle w:val="4"/>
              <w:rPr>
                <w:rFonts w:asciiTheme="minorEastAsia" w:hAnsiTheme="minorEastAsia" w:cstheme="minorEastAsia"/>
                <w:szCs w:val="21"/>
              </w:rPr>
            </w:pPr>
            <w:r>
              <w:rPr>
                <w:rFonts w:hint="eastAsia" w:asciiTheme="minorEastAsia" w:hAnsiTheme="minorEastAsia" w:cstheme="minorEastAsia"/>
                <w:szCs w:val="21"/>
              </w:rPr>
              <w:t>（7）图像应清晰并能反映出内容主题思想，通俗易懂，便于理解，分辨率应上72dpi以上。</w:t>
            </w:r>
          </w:p>
          <w:p>
            <w:pPr>
              <w:pStyle w:val="4"/>
              <w:rPr>
                <w:rFonts w:asciiTheme="minorEastAsia" w:hAnsiTheme="minorEastAsia" w:cstheme="minorEastAsia"/>
                <w:szCs w:val="21"/>
              </w:rPr>
            </w:pPr>
            <w:r>
              <w:rPr>
                <w:rFonts w:hint="eastAsia" w:asciiTheme="minorEastAsia" w:hAnsiTheme="minorEastAsia" w:cstheme="minorEastAsia"/>
                <w:szCs w:val="21"/>
              </w:rPr>
              <w:t>（8）素材选用注意版权，涉及版权问题须加入“版权来源”信息。</w:t>
            </w:r>
          </w:p>
          <w:p>
            <w:pPr>
              <w:rPr>
                <w:rFonts w:asciiTheme="minorEastAsia" w:hAnsiTheme="minorEastAsia" w:cstheme="minorEastAsia"/>
                <w:szCs w:val="21"/>
              </w:rPr>
            </w:pPr>
            <w:r>
              <w:rPr>
                <w:rFonts w:asciiTheme="minorEastAsia" w:hAnsiTheme="minorEastAsia" w:cstheme="minorEastAsia"/>
                <w:szCs w:val="21"/>
              </w:rPr>
              <w:t>2</w:t>
            </w:r>
            <w:r>
              <w:rPr>
                <w:rFonts w:hint="eastAsia" w:asciiTheme="minorEastAsia" w:hAnsiTheme="minorEastAsia" w:cstheme="minorEastAsia"/>
                <w:szCs w:val="21"/>
              </w:rPr>
              <w:t>.教案</w:t>
            </w:r>
          </w:p>
          <w:p>
            <w:pPr>
              <w:pStyle w:val="4"/>
              <w:rPr>
                <w:rFonts w:asciiTheme="minorEastAsia" w:hAnsiTheme="minorEastAsia" w:cstheme="minorEastAsia"/>
                <w:szCs w:val="21"/>
              </w:rPr>
            </w:pPr>
            <w:r>
              <w:rPr>
                <w:rFonts w:hint="eastAsia" w:asciiTheme="minorEastAsia" w:hAnsiTheme="minorEastAsia" w:cstheme="minorEastAsia"/>
                <w:szCs w:val="21"/>
              </w:rPr>
              <w:t>（1）组织团队成员以任务为单位撰写教案；</w:t>
            </w:r>
          </w:p>
          <w:p>
            <w:pPr>
              <w:pStyle w:val="4"/>
              <w:rPr>
                <w:rFonts w:asciiTheme="minorEastAsia" w:hAnsiTheme="minorEastAsia" w:cstheme="minorEastAsia"/>
                <w:szCs w:val="21"/>
              </w:rPr>
            </w:pPr>
            <w:r>
              <w:rPr>
                <w:rFonts w:hint="eastAsia" w:asciiTheme="minorEastAsia" w:hAnsiTheme="minorEastAsia" w:cstheme="minorEastAsia"/>
                <w:szCs w:val="21"/>
              </w:rPr>
              <w:t>（2）教案应包含不限于：课题名称、教学目标、教学重难点、教学过程等要素。</w:t>
            </w:r>
          </w:p>
          <w:p>
            <w:pPr>
              <w:pStyle w:val="4"/>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w:t>
            </w:r>
            <w:r>
              <w:rPr>
                <w:rFonts w:hint="eastAsia" w:asciiTheme="minorEastAsia" w:hAnsiTheme="minorEastAsia" w:cstheme="minorEastAsia"/>
                <w:szCs w:val="21"/>
              </w:rPr>
              <w:t>题库</w:t>
            </w:r>
          </w:p>
          <w:p>
            <w:pPr>
              <w:pStyle w:val="4"/>
              <w:rPr>
                <w:rFonts w:asciiTheme="minorEastAsia" w:hAnsiTheme="minorEastAsia" w:cstheme="minorEastAsia"/>
                <w:szCs w:val="21"/>
              </w:rPr>
            </w:pPr>
            <w:r>
              <w:rPr>
                <w:rFonts w:hint="eastAsia" w:asciiTheme="minorEastAsia" w:hAnsiTheme="minorEastAsia" w:cstheme="minorEastAsia"/>
                <w:szCs w:val="21"/>
              </w:rPr>
              <w:t>（1）诊断考试题X</w:t>
            </w:r>
            <w:r>
              <w:rPr>
                <w:rFonts w:asciiTheme="minorEastAsia" w:hAnsiTheme="minorEastAsia" w:cstheme="minorEastAsia"/>
                <w:szCs w:val="21"/>
              </w:rPr>
              <w:t>X</w:t>
            </w:r>
            <w:r>
              <w:rPr>
                <w:rFonts w:hint="eastAsia" w:asciiTheme="minorEastAsia" w:hAnsiTheme="minorEastAsia" w:cstheme="minorEastAsia"/>
                <w:szCs w:val="21"/>
              </w:rPr>
              <w:t>套。</w:t>
            </w:r>
            <w:r>
              <w:rPr>
                <w:rFonts w:asciiTheme="minorEastAsia" w:hAnsiTheme="minorEastAsia" w:cstheme="minorEastAsia"/>
                <w:szCs w:val="21"/>
              </w:rPr>
              <w:t>由专家按照职教高考题型出题、赋分，直接交学校分管副校长，开展诊断考试；考试后，指导教研组开展教学质量分析，提出教学改进意见。24、25、26年每年开展3次调研考试。</w:t>
            </w:r>
          </w:p>
          <w:p>
            <w:pPr>
              <w:pStyle w:val="4"/>
              <w:rPr>
                <w:rFonts w:asciiTheme="minorEastAsia" w:hAnsiTheme="minorEastAsia" w:cstheme="minorEastAsia"/>
                <w:szCs w:val="21"/>
              </w:rPr>
            </w:pPr>
            <w:r>
              <w:rPr>
                <w:rFonts w:hint="eastAsia" w:asciiTheme="minorEastAsia" w:hAnsiTheme="minorEastAsia" w:cstheme="minorEastAsia"/>
                <w:szCs w:val="21"/>
              </w:rPr>
              <w:t>（2）模拟考试题X</w:t>
            </w:r>
            <w:r>
              <w:rPr>
                <w:rFonts w:asciiTheme="minorEastAsia" w:hAnsiTheme="minorEastAsia" w:cstheme="minorEastAsia"/>
                <w:szCs w:val="21"/>
              </w:rPr>
              <w:t>XX</w:t>
            </w:r>
            <w:r>
              <w:rPr>
                <w:rFonts w:hint="eastAsia" w:asciiTheme="minorEastAsia" w:hAnsiTheme="minorEastAsia" w:cstheme="minorEastAsia"/>
                <w:szCs w:val="21"/>
              </w:rPr>
              <w:t>套。</w:t>
            </w:r>
            <w:r>
              <w:rPr>
                <w:rFonts w:asciiTheme="minorEastAsia" w:hAnsiTheme="minorEastAsia" w:cstheme="minorEastAsia"/>
                <w:szCs w:val="21"/>
              </w:rPr>
              <w:t>由专家指导学科教研组，根据《</w:t>
            </w:r>
            <w:r>
              <w:rPr>
                <w:rFonts w:hint="eastAsia" w:asciiTheme="minorEastAsia" w:hAnsiTheme="minorEastAsia" w:cstheme="minorEastAsia"/>
                <w:szCs w:val="21"/>
              </w:rPr>
              <w:t>四川省普通高校对口招生职业技能考试大纲汽车类（</w:t>
            </w:r>
            <w:r>
              <w:rPr>
                <w:rFonts w:asciiTheme="minorEastAsia" w:hAnsiTheme="minorEastAsia" w:cstheme="minorEastAsia"/>
                <w:szCs w:val="21"/>
              </w:rPr>
              <w:t>2023年版）第二部分技能操作（应会）》内容出题，交指导专家审核；审核后，交任课教师</w:t>
            </w:r>
            <w:r>
              <w:rPr>
                <w:rFonts w:hint="eastAsia" w:asciiTheme="minorEastAsia" w:hAnsiTheme="minorEastAsia" w:cstheme="minorEastAsia"/>
                <w:szCs w:val="21"/>
              </w:rPr>
              <w:t>，</w:t>
            </w:r>
            <w:r>
              <w:rPr>
                <w:rFonts w:asciiTheme="minorEastAsia" w:hAnsiTheme="minorEastAsia" w:cstheme="minorEastAsia"/>
                <w:szCs w:val="21"/>
              </w:rPr>
              <w:t>供师生使用。</w:t>
            </w:r>
          </w:p>
          <w:p>
            <w:pPr>
              <w:pStyle w:val="4"/>
              <w:rPr>
                <w:rFonts w:asciiTheme="minorEastAsia" w:hAnsiTheme="minorEastAsia" w:cstheme="minorEastAsia"/>
                <w:szCs w:val="21"/>
              </w:rPr>
            </w:pPr>
            <w:r>
              <w:rPr>
                <w:rFonts w:hint="eastAsia" w:asciiTheme="minorEastAsia" w:hAnsiTheme="minorEastAsia" w:cstheme="minorEastAsia"/>
                <w:szCs w:val="21"/>
              </w:rPr>
              <w:t>（3）平时练习题X</w:t>
            </w:r>
            <w:r>
              <w:rPr>
                <w:rFonts w:asciiTheme="minorEastAsia" w:hAnsiTheme="minorEastAsia" w:cstheme="minorEastAsia"/>
                <w:szCs w:val="21"/>
              </w:rPr>
              <w:t>XX</w:t>
            </w:r>
            <w:r>
              <w:rPr>
                <w:rFonts w:hint="eastAsia" w:asciiTheme="minorEastAsia" w:hAnsiTheme="minorEastAsia" w:cstheme="minorEastAsia"/>
                <w:szCs w:val="21"/>
              </w:rPr>
              <w:t>道。</w:t>
            </w:r>
            <w:r>
              <w:rPr>
                <w:rFonts w:asciiTheme="minorEastAsia" w:hAnsiTheme="minorEastAsia" w:cstheme="minorEastAsia"/>
                <w:szCs w:val="21"/>
              </w:rPr>
              <w:t>二、三年级分别按照《</w:t>
            </w:r>
            <w:r>
              <w:rPr>
                <w:rFonts w:hint="eastAsia" w:asciiTheme="minorEastAsia" w:hAnsiTheme="minorEastAsia" w:cstheme="minorEastAsia"/>
                <w:szCs w:val="21"/>
              </w:rPr>
              <w:t>四川省普通高校对口招生职业技能考试大纲汽车类（</w:t>
            </w:r>
            <w:r>
              <w:rPr>
                <w:rFonts w:asciiTheme="minorEastAsia" w:hAnsiTheme="minorEastAsia" w:cstheme="minorEastAsia"/>
                <w:szCs w:val="21"/>
              </w:rPr>
              <w:t>2023年版）第二部分技能操作（应会）》，由任课教师出具课堂练习题，单元检测题；交指导专家审核；审核后，交任课教师，供师生使用。</w:t>
            </w:r>
          </w:p>
          <w:p>
            <w:pPr>
              <w:spacing w:after="156" w:afterLines="50" w:line="30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szCs w:val="21"/>
              </w:rPr>
              <w:t>（五）</w:t>
            </w:r>
            <w:r>
              <w:rPr>
                <w:rFonts w:hint="eastAsia" w:asciiTheme="minorEastAsia" w:hAnsiTheme="minorEastAsia" w:cstheme="minorEastAsia"/>
                <w:b/>
                <w:bCs/>
                <w:color w:val="000000" w:themeColor="text1"/>
                <w:szCs w:val="21"/>
                <w14:textFill>
                  <w14:solidFill>
                    <w14:schemeClr w14:val="tx1"/>
                  </w14:solidFill>
                </w14:textFill>
              </w:rPr>
              <w:t>交付成果</w:t>
            </w:r>
          </w:p>
          <w:p>
            <w:pPr>
              <w:pStyle w:val="4"/>
              <w:rPr>
                <w:rFonts w:hint="eastAsia" w:asciiTheme="minorEastAsia" w:hAnsiTheme="minorEastAsia" w:cstheme="minorEastAsia"/>
                <w:b/>
                <w:bCs/>
                <w:szCs w:val="21"/>
              </w:rPr>
            </w:pPr>
            <w:r>
              <w:rPr>
                <w:rFonts w:hint="eastAsia" w:asciiTheme="minorEastAsia" w:hAnsiTheme="minorEastAsia" w:cstheme="minorEastAsia"/>
                <w:szCs w:val="21"/>
              </w:rPr>
              <w:t>提供装订好的《汽车类对口升学应知校本教材》</w:t>
            </w:r>
            <w:r>
              <w:rPr>
                <w:rFonts w:hint="eastAsia" w:asciiTheme="minorEastAsia" w:hAnsiTheme="minorEastAsia" w:cstheme="minorEastAsia"/>
                <w:szCs w:val="21"/>
                <w:lang w:eastAsia="zh-Hans"/>
              </w:rPr>
              <w:t>教材</w:t>
            </w:r>
            <w:r>
              <w:rPr>
                <w:rFonts w:hint="eastAsia" w:asciiTheme="minorEastAsia" w:hAnsiTheme="minorEastAsia" w:cstheme="minorEastAsia"/>
                <w:szCs w:val="21"/>
              </w:rPr>
              <w:t>样书10册，同时向学校提供定稿并排版后的电子文档1份。</w:t>
            </w:r>
          </w:p>
        </w:tc>
      </w:tr>
    </w:tbl>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r>
        <w:rPr>
          <w:rFonts w:hint="eastAsia" w:ascii="宋体" w:hAnsi="宋体" w:eastAsia="宋体" w:cs="宋体"/>
          <w:sz w:val="32"/>
          <w:szCs w:val="32"/>
        </w:rPr>
        <w:t>说明：</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所采购产品为含税开票价格，并为一次性报价。</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询价表格式：</w:t>
      </w:r>
      <w:r>
        <w:rPr>
          <w:rFonts w:hint="eastAsia" w:ascii="宋体" w:hAnsi="宋体" w:eastAsia="宋体" w:cs="宋体"/>
          <w:b/>
          <w:bCs/>
          <w:color w:val="FF0000"/>
          <w:sz w:val="32"/>
          <w:szCs w:val="32"/>
        </w:rPr>
        <w:t>盖章密封纸质版文件</w:t>
      </w:r>
      <w:r>
        <w:rPr>
          <w:rFonts w:hint="eastAsia" w:ascii="宋体" w:hAnsi="宋体" w:eastAsia="宋体" w:cs="宋体"/>
          <w:sz w:val="32"/>
          <w:szCs w:val="32"/>
        </w:rPr>
        <w:t>。</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本项目不收取比选保证金</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招标方式：询价招标（最低价中标法）</w:t>
      </w:r>
    </w:p>
    <w:p>
      <w:pPr>
        <w:numPr>
          <w:ilvl w:val="0"/>
          <w:numId w:val="3"/>
        </w:numPr>
        <w:ind w:left="425" w:leftChars="0" w:hanging="425" w:firstLineChars="0"/>
        <w:jc w:val="left"/>
        <w:rPr>
          <w:rFonts w:hint="eastAsia" w:ascii="宋体" w:hAnsi="宋体" w:eastAsia="宋体" w:cs="宋体"/>
          <w:sz w:val="32"/>
          <w:szCs w:val="32"/>
        </w:rPr>
      </w:pPr>
      <w:r>
        <w:rPr>
          <w:rFonts w:hint="eastAsia" w:ascii="宋体" w:hAnsi="宋体" w:eastAsia="宋体" w:cs="宋体"/>
          <w:sz w:val="32"/>
          <w:szCs w:val="32"/>
        </w:rPr>
        <w:t>付款方式：</w:t>
      </w:r>
      <w:r>
        <w:rPr>
          <w:rFonts w:hint="eastAsia" w:ascii="宋体" w:hAnsi="宋体" w:eastAsia="宋体" w:cs="宋体"/>
          <w:sz w:val="32"/>
          <w:szCs w:val="32"/>
          <w:highlight w:val="yellow"/>
          <w:u w:val="single"/>
        </w:rPr>
        <w:t>合同签订后付40%，服务期满验收合格后付60%</w:t>
      </w:r>
      <w:r>
        <w:rPr>
          <w:rFonts w:hint="eastAsia" w:ascii="宋体" w:hAnsi="宋体" w:eastAsia="宋体" w:cs="宋体"/>
          <w:sz w:val="32"/>
          <w:szCs w:val="32"/>
        </w:rPr>
        <w:t>。</w:t>
      </w: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jc w:val="left"/>
        <w:rPr>
          <w:rFonts w:hint="eastAsia" w:ascii="宋体" w:hAnsi="宋体" w:eastAsia="宋体" w:cs="宋体"/>
          <w:sz w:val="32"/>
          <w:szCs w:val="32"/>
        </w:rPr>
      </w:pPr>
    </w:p>
    <w:p>
      <w:pPr>
        <w:bidi w:val="0"/>
        <w:rPr>
          <w:rFonts w:hint="eastAsia"/>
        </w:rPr>
      </w:pPr>
      <w:bookmarkStart w:id="4" w:name="_Toc12540"/>
      <w:bookmarkStart w:id="5" w:name="_Toc25079259"/>
    </w:p>
    <w:p>
      <w:pPr>
        <w:pStyle w:val="2"/>
        <w:bidi w:val="0"/>
        <w:rPr>
          <w:rFonts w:hint="eastAsia"/>
          <w:sz w:val="36"/>
          <w:szCs w:val="28"/>
        </w:rPr>
      </w:pPr>
      <w:r>
        <w:rPr>
          <w:rFonts w:hint="eastAsia"/>
          <w:sz w:val="36"/>
          <w:szCs w:val="28"/>
        </w:rPr>
        <w:t>投标文件格式</w:t>
      </w:r>
      <w:bookmarkEnd w:id="4"/>
      <w:bookmarkEnd w:id="5"/>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Pr>
        <w:rPr>
          <w:rFonts w:hint="eastAsia"/>
        </w:rPr>
      </w:pPr>
    </w:p>
    <w:p>
      <w:pPr>
        <w:rPr>
          <w:rFonts w:hint="eastAsia"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sz w:val="36"/>
          <w:szCs w:val="36"/>
          <w:lang w:eastAsia="zh-CN"/>
        </w:rPr>
      </w:pPr>
      <w:r>
        <w:rPr>
          <w:rFonts w:hint="eastAsia" w:ascii="楷体" w:hAnsi="楷体" w:eastAsia="楷体" w:cs="楷体"/>
          <w:b/>
          <w:bCs/>
          <w:sz w:val="48"/>
          <w:szCs w:val="48"/>
          <w:lang w:eastAsia="zh-CN"/>
        </w:rPr>
        <w:t>成都汽车职业技学校校本教材建设项目</w:t>
      </w:r>
    </w:p>
    <w:p>
      <w:pPr>
        <w:jc w:val="center"/>
        <w:rPr>
          <w:rFonts w:ascii="楷体" w:hAnsi="楷体" w:eastAsia="楷体" w:cs="楷体"/>
          <w:sz w:val="36"/>
          <w:szCs w:val="36"/>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both"/>
        <w:rPr>
          <w:rFonts w:hint="eastAsia" w:ascii="楷体" w:hAnsi="楷体" w:eastAsia="楷体" w:cs="楷体"/>
          <w:sz w:val="36"/>
          <w:szCs w:val="36"/>
        </w:rPr>
      </w:pPr>
    </w:p>
    <w:p>
      <w:pPr>
        <w:spacing w:line="720" w:lineRule="auto"/>
        <w:jc w:val="center"/>
        <w:rPr>
          <w:rFonts w:hint="eastAsia"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rPr>
        <w:t>成都汽车职业技术学校</w:t>
      </w:r>
      <w:r>
        <w:rPr>
          <w:rFonts w:hint="eastAsia" w:ascii="楷体" w:hAnsi="楷体" w:eastAsia="楷体" w:cs="楷体"/>
          <w:sz w:val="30"/>
          <w:szCs w:val="30"/>
          <w:highlight w:val="yellow"/>
          <w:u w:val="single"/>
          <w:lang w:eastAsia="zh-CN"/>
        </w:rPr>
        <w:t>校本教材建设</w:t>
      </w:r>
      <w:r>
        <w:rPr>
          <w:rFonts w:hint="eastAsia" w:ascii="楷体" w:hAnsi="楷体" w:eastAsia="楷体" w:cs="楷体"/>
          <w:sz w:val="30"/>
          <w:szCs w:val="30"/>
          <w:highlight w:val="yellow"/>
          <w:u w:val="single"/>
        </w:rPr>
        <w:t>项目</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18"/>
        <w:rPr>
          <w:rFonts w:ascii="楷体" w:hAnsi="楷体" w:eastAsia="楷体" w:cs="楷体"/>
          <w:sz w:val="36"/>
          <w:szCs w:val="36"/>
        </w:rPr>
      </w:pPr>
    </w:p>
    <w:p>
      <w:pPr>
        <w:pStyle w:val="18"/>
      </w:pPr>
    </w:p>
    <w:p>
      <w:pPr>
        <w:ind w:right="1120"/>
        <w:rPr>
          <w:rFonts w:hint="eastAsia" w:ascii="宋体" w:hAnsi="宋体" w:eastAsia="宋体" w:cs="宋体"/>
          <w:sz w:val="32"/>
          <w:szCs w:val="32"/>
        </w:rPr>
      </w:pPr>
    </w:p>
    <w:p>
      <w:pPr>
        <w:ind w:right="1120"/>
        <w:rPr>
          <w:rFonts w:hint="eastAsia"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hint="eastAsia" w:ascii="宋体" w:hAnsi="宋体" w:eastAsia="宋体" w:cs="宋体"/>
          <w:sz w:val="28"/>
          <w:szCs w:val="30"/>
        </w:rPr>
      </w:pPr>
    </w:p>
    <w:p>
      <w:pPr>
        <w:spacing w:line="700" w:lineRule="exact"/>
        <w:jc w:val="center"/>
        <w:rPr>
          <w:rFonts w:hint="eastAsia"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hint="eastAsia" w:ascii="宋体" w:hAnsi="宋体" w:eastAsia="宋体" w:cs="宋体"/>
          <w:bCs/>
          <w:sz w:val="44"/>
          <w:szCs w:val="44"/>
        </w:rPr>
      </w:pPr>
    </w:p>
    <w:p>
      <w:pPr>
        <w:jc w:val="center"/>
        <w:rPr>
          <w:rFonts w:hint="eastAsia"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560" w:firstLineChars="200"/>
        <w:rPr>
          <w:rFonts w:hint="eastAsia" w:ascii="宋体" w:hAnsi="宋体" w:eastAsia="宋体" w:cs="宋体"/>
          <w:sz w:val="28"/>
          <w:szCs w:val="30"/>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hint="eastAsia"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hint="eastAsia" w:ascii="宋体" w:hAnsi="宋体" w:eastAsia="宋体" w:cs="宋体"/>
          <w:b/>
          <w:bCs/>
          <w:kern w:val="0"/>
          <w:sz w:val="32"/>
          <w:szCs w:val="32"/>
        </w:rPr>
      </w:pPr>
    </w:p>
    <w:p>
      <w:pPr>
        <w:widowControl/>
        <w:jc w:val="center"/>
        <w:rPr>
          <w:rFonts w:hint="eastAsia"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hint="eastAsia" w:ascii="宋体" w:hAnsi="宋体" w:eastAsia="宋体" w:cs="宋体"/>
          <w:sz w:val="32"/>
          <w:szCs w:val="32"/>
        </w:rPr>
      </w:pPr>
      <w:r>
        <w:rPr>
          <w:rFonts w:hint="eastAsia" w:ascii="宋体" w:hAnsi="宋体" w:eastAsia="宋体" w:cs="宋体"/>
          <w:sz w:val="32"/>
          <w:szCs w:val="32"/>
        </w:rPr>
        <w:t>采购项目编号:</w:t>
      </w:r>
    </w:p>
    <w:p>
      <w:pPr>
        <w:rPr>
          <w:rFonts w:hint="eastAsia" w:ascii="宋体" w:hAnsi="宋体" w:eastAsia="宋体" w:cs="宋体"/>
          <w:b/>
          <w:sz w:val="32"/>
          <w:szCs w:val="32"/>
        </w:rPr>
      </w:pPr>
    </w:p>
    <w:p>
      <w:pPr>
        <w:rPr>
          <w:rFonts w:hint="eastAsia"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4"/>
        </w:numPr>
        <w:ind w:firstLine="640" w:firstLineChars="200"/>
        <w:rPr>
          <w:rFonts w:hint="eastAsia" w:ascii="宋体" w:hAnsi="宋体" w:eastAsia="宋体" w:cs="宋体"/>
          <w:sz w:val="32"/>
          <w:szCs w:val="32"/>
        </w:rPr>
      </w:pPr>
      <w:r>
        <w:rPr>
          <w:rFonts w:hint="eastAsia" w:ascii="宋体" w:hAnsi="宋体" w:eastAsia="宋体" w:cs="宋体"/>
          <w:sz w:val="32"/>
          <w:szCs w:val="32"/>
        </w:rPr>
        <w:t>报价表：</w:t>
      </w:r>
    </w:p>
    <w:tbl>
      <w:tblPr>
        <w:tblStyle w:val="11"/>
        <w:tblpPr w:leftFromText="180" w:rightFromText="180" w:vertAnchor="text" w:horzAnchor="margin" w:tblpY="4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4854"/>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序号</w:t>
            </w:r>
          </w:p>
        </w:tc>
        <w:tc>
          <w:tcPr>
            <w:tcW w:w="2663"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项目名称</w:t>
            </w:r>
          </w:p>
        </w:tc>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单位</w:t>
            </w:r>
          </w:p>
        </w:tc>
        <w:tc>
          <w:tcPr>
            <w:tcW w:w="584" w:type="pct"/>
            <w:shd w:val="clear" w:color="auto" w:fill="DAE3F3" w:themeFill="accent1" w:themeFillTint="32"/>
            <w:vAlign w:val="center"/>
          </w:tcPr>
          <w:p>
            <w:pPr>
              <w:pStyle w:val="4"/>
              <w:jc w:val="center"/>
              <w:rPr>
                <w:rFonts w:ascii="宋体" w:hAnsi="宋体" w:eastAsia="宋体" w:cs="宋体"/>
                <w:b/>
                <w:bCs/>
                <w:kern w:val="0"/>
                <w:sz w:val="20"/>
              </w:rPr>
            </w:pPr>
            <w:r>
              <w:rPr>
                <w:rFonts w:hint="eastAsia" w:ascii="宋体" w:hAnsi="宋体" w:eastAsia="宋体" w:cs="宋体"/>
                <w:b/>
                <w:bCs/>
                <w:kern w:val="0"/>
                <w:sz w:val="20"/>
              </w:rPr>
              <w:t>数量</w:t>
            </w:r>
          </w:p>
        </w:tc>
        <w:tc>
          <w:tcPr>
            <w:tcW w:w="584" w:type="pct"/>
            <w:shd w:val="clear" w:color="auto" w:fill="DAE3F3" w:themeFill="accent1" w:themeFillTint="32"/>
            <w:vAlign w:val="center"/>
          </w:tcPr>
          <w:p>
            <w:pPr>
              <w:pStyle w:val="4"/>
              <w:jc w:val="center"/>
              <w:rPr>
                <w:rFonts w:hint="default" w:ascii="宋体" w:hAnsi="宋体" w:eastAsia="宋体" w:cs="宋体"/>
                <w:b/>
                <w:bCs/>
                <w:kern w:val="0"/>
                <w:sz w:val="20"/>
                <w:lang w:val="en-US" w:eastAsia="zh-CN"/>
              </w:rPr>
            </w:pPr>
            <w:r>
              <w:rPr>
                <w:rFonts w:hint="eastAsia" w:ascii="宋体" w:hAnsi="宋体" w:eastAsia="宋体" w:cs="宋体"/>
                <w:b/>
                <w:bCs/>
                <w:kern w:val="0"/>
                <w:sz w:val="20"/>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2663"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汽车类对口升学应知校本教材</w:t>
            </w:r>
          </w:p>
        </w:tc>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部</w:t>
            </w:r>
          </w:p>
        </w:tc>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584" w:type="pct"/>
            <w:vAlign w:val="center"/>
          </w:tcPr>
          <w:p>
            <w:pPr>
              <w:pStyle w:val="4"/>
              <w:jc w:val="center"/>
              <w:rPr>
                <w:rFonts w:hint="eastAsia"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2</w:t>
            </w:r>
          </w:p>
        </w:tc>
        <w:tc>
          <w:tcPr>
            <w:tcW w:w="2663" w:type="pct"/>
            <w:vAlign w:val="center"/>
          </w:tcPr>
          <w:p>
            <w:pPr>
              <w:pStyle w:val="4"/>
              <w:jc w:val="center"/>
              <w:rPr>
                <w:rFonts w:ascii="宋体" w:hAnsi="宋体" w:eastAsia="宋体" w:cs="宋体"/>
                <w:kern w:val="0"/>
                <w:sz w:val="20"/>
                <w:lang w:eastAsia="zh-Hans"/>
              </w:rPr>
            </w:pPr>
            <w:r>
              <w:rPr>
                <w:rFonts w:hint="eastAsia" w:ascii="宋体" w:hAnsi="宋体" w:eastAsia="宋体" w:cs="宋体"/>
                <w:kern w:val="0"/>
                <w:sz w:val="20"/>
                <w:lang w:eastAsia="zh-Hans"/>
              </w:rPr>
              <w:t>汽车类对口升学应会校本教材</w:t>
            </w:r>
          </w:p>
        </w:tc>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部</w:t>
            </w:r>
          </w:p>
        </w:tc>
        <w:tc>
          <w:tcPr>
            <w:tcW w:w="584" w:type="pct"/>
            <w:vAlign w:val="center"/>
          </w:tcPr>
          <w:p>
            <w:pPr>
              <w:pStyle w:val="4"/>
              <w:jc w:val="center"/>
              <w:rPr>
                <w:rFonts w:ascii="宋体" w:hAnsi="宋体" w:eastAsia="宋体" w:cs="宋体"/>
                <w:kern w:val="0"/>
                <w:sz w:val="20"/>
              </w:rPr>
            </w:pPr>
            <w:r>
              <w:rPr>
                <w:rFonts w:hint="eastAsia" w:ascii="宋体" w:hAnsi="宋体" w:eastAsia="宋体" w:cs="宋体"/>
                <w:kern w:val="0"/>
                <w:sz w:val="20"/>
              </w:rPr>
              <w:t>1</w:t>
            </w:r>
          </w:p>
        </w:tc>
        <w:tc>
          <w:tcPr>
            <w:tcW w:w="584" w:type="pct"/>
            <w:vAlign w:val="center"/>
          </w:tcPr>
          <w:p>
            <w:pPr>
              <w:pStyle w:val="4"/>
              <w:jc w:val="center"/>
              <w:rPr>
                <w:rFonts w:hint="eastAsia" w:ascii="宋体" w:hAnsi="宋体" w:eastAsia="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415" w:type="pct"/>
            <w:gridSpan w:val="4"/>
            <w:vAlign w:val="center"/>
          </w:tcPr>
          <w:p>
            <w:pPr>
              <w:pStyle w:val="4"/>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合计</w:t>
            </w:r>
          </w:p>
        </w:tc>
        <w:tc>
          <w:tcPr>
            <w:tcW w:w="584" w:type="pct"/>
            <w:vAlign w:val="center"/>
          </w:tcPr>
          <w:p>
            <w:pPr>
              <w:pStyle w:val="4"/>
              <w:jc w:val="center"/>
              <w:rPr>
                <w:rFonts w:hint="eastAsia" w:ascii="宋体" w:hAnsi="宋体" w:eastAsia="宋体" w:cs="宋体"/>
                <w:kern w:val="0"/>
                <w:sz w:val="20"/>
              </w:rPr>
            </w:pPr>
          </w:p>
        </w:tc>
      </w:tr>
    </w:tbl>
    <w:p>
      <w:pPr>
        <w:numPr>
          <w:ilvl w:val="0"/>
          <w:numId w:val="0"/>
        </w:numPr>
        <w:rPr>
          <w:rFonts w:hint="eastAsia" w:ascii="宋体" w:hAnsi="宋体" w:eastAsia="宋体" w:cs="宋体"/>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ind w:firstLine="640" w:firstLineChars="200"/>
        <w:jc w:val="right"/>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jc w:val="both"/>
        <w:rPr>
          <w:rFonts w:hint="eastAsia" w:ascii="仿宋_GB2312" w:hAnsi="仿宋_GB2312" w:eastAsia="仿宋_GB2312" w:cs="Arial"/>
          <w:sz w:val="32"/>
          <w:szCs w:val="32"/>
        </w:rPr>
      </w:pPr>
    </w:p>
    <w:p>
      <w:pPr>
        <w:numPr>
          <w:ilvl w:val="0"/>
          <w:numId w:val="5"/>
        </w:numPr>
        <w:spacing w:line="240" w:lineRule="auto"/>
        <w:jc w:val="center"/>
        <w:rPr>
          <w:rFonts w:ascii="楷体" w:hAnsi="楷体" w:eastAsia="楷体" w:cs="楷体"/>
          <w:sz w:val="36"/>
          <w:szCs w:val="36"/>
        </w:rPr>
      </w:pPr>
      <w:r>
        <w:rPr>
          <w:rFonts w:hint="eastAsia" w:ascii="楷体" w:hAnsi="楷体" w:eastAsia="楷体" w:cs="楷体"/>
          <w:sz w:val="36"/>
          <w:szCs w:val="36"/>
        </w:rPr>
        <w:t>公司相关资料</w:t>
      </w: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5"/>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0"/>
        <w:tblW w:w="4998" w:type="pct"/>
        <w:tblInd w:w="0" w:type="dxa"/>
        <w:tblLayout w:type="fixed"/>
        <w:tblCellMar>
          <w:top w:w="0" w:type="dxa"/>
          <w:left w:w="108" w:type="dxa"/>
          <w:bottom w:w="0" w:type="dxa"/>
          <w:right w:w="108" w:type="dxa"/>
        </w:tblCellMar>
      </w:tblPr>
      <w:tblGrid>
        <w:gridCol w:w="441"/>
        <w:gridCol w:w="2490"/>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19"/>
                <w:rFonts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18"/>
        <w:rPr>
          <w:rFonts w:ascii="楷体" w:hAnsi="楷体" w:eastAsia="楷体" w:cs="楷体"/>
          <w:sz w:val="36"/>
          <w:szCs w:val="36"/>
        </w:rPr>
      </w:pPr>
    </w:p>
    <w:p>
      <w:pPr>
        <w:pStyle w:val="3"/>
        <w:rPr>
          <w:rFonts w:ascii="楷体" w:hAnsi="楷体" w:eastAsia="楷体" w:cs="楷体"/>
          <w:sz w:val="36"/>
          <w:szCs w:val="36"/>
        </w:rPr>
      </w:pPr>
    </w:p>
    <w:p>
      <w:pPr>
        <w:rPr>
          <w:rFonts w:ascii="楷体" w:hAnsi="楷体" w:eastAsia="楷体" w:cs="楷体"/>
          <w:sz w:val="36"/>
          <w:szCs w:val="36"/>
        </w:rPr>
      </w:pPr>
    </w:p>
    <w:p>
      <w:pPr>
        <w:pStyle w:val="18"/>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三、信誉要求：</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spacing w:line="240" w:lineRule="auto"/>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spacing w:line="240" w:lineRule="auto"/>
        <w:ind w:firstLine="548" w:firstLineChars="196"/>
        <w:outlineLvl w:val="1"/>
        <w:rPr>
          <w:rFonts w:ascii="楷体" w:hAnsi="楷体" w:eastAsia="楷体" w:cs="楷体"/>
          <w:sz w:val="28"/>
          <w:szCs w:val="28"/>
        </w:rPr>
      </w:pPr>
    </w:p>
    <w:p>
      <w:pPr>
        <w:pStyle w:val="18"/>
      </w:pP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spacing w:line="240" w:lineRule="auto"/>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18"/>
        <w:spacing w:line="360" w:lineRule="auto"/>
        <w:rPr>
          <w:rFonts w:ascii="楷体" w:hAnsi="楷体" w:eastAsia="楷体" w:cs="楷体"/>
          <w:sz w:val="28"/>
          <w:szCs w:val="28"/>
        </w:rPr>
      </w:pPr>
    </w:p>
    <w:p>
      <w:pPr>
        <w:pStyle w:val="4"/>
      </w:pPr>
    </w:p>
    <w:p>
      <w:pPr>
        <w:widowControl/>
        <w:spacing w:after="0"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2"/>
        <w:bidi w:val="0"/>
        <w:rPr>
          <w:rFonts w:hint="eastAsia"/>
          <w:sz w:val="36"/>
          <w:szCs w:val="28"/>
        </w:rPr>
      </w:pPr>
      <w:bookmarkStart w:id="6" w:name="_Toc18544"/>
      <w:bookmarkStart w:id="7" w:name="_Toc25079261"/>
      <w:r>
        <w:rPr>
          <w:rFonts w:hint="eastAsia"/>
          <w:sz w:val="36"/>
          <w:szCs w:val="28"/>
        </w:rPr>
        <w:t>资格审查</w:t>
      </w:r>
      <w:bookmarkEnd w:id="6"/>
      <w:bookmarkEnd w:id="7"/>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0"/>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0"/>
              <w:numPr>
                <w:ilvl w:val="0"/>
                <w:numId w:val="6"/>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0"/>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0"/>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0"/>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0"/>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0"/>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0"/>
              <w:rPr>
                <w:rFonts w:ascii="仿宋_GB2312" w:hAnsi="仿宋_GB2312" w:eastAsia="仿宋_GB2312" w:cs="仿宋_GB2312"/>
                <w:color w:val="FF0000"/>
                <w:highlight w:val="yellow"/>
              </w:rPr>
            </w:pPr>
          </w:p>
        </w:tc>
      </w:tr>
    </w:tbl>
    <w:p>
      <w:pPr>
        <w:tabs>
          <w:tab w:val="left" w:pos="851"/>
        </w:tabs>
        <w:spacing w:after="0"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after="0" w:line="580" w:lineRule="exact"/>
        <w:ind w:firstLine="560" w:firstLineChars="200"/>
        <w:jc w:val="left"/>
        <w:rPr>
          <w:rFonts w:ascii="仿宋_GB2312" w:hAnsi="仿宋_GB2312" w:eastAsia="仿宋_GB2312" w:cs="仿宋_GB2312"/>
          <w:sz w:val="24"/>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8" w:name="_Toc217446093"/>
      <w:r>
        <w:rPr>
          <w:rFonts w:hint="eastAsia" w:ascii="仿宋_GB2312" w:hAnsi="仿宋_GB2312" w:eastAsia="仿宋_GB2312" w:cs="仿宋_GB2312"/>
          <w:sz w:val="28"/>
          <w:szCs w:val="28"/>
        </w:rPr>
        <w:t>。</w:t>
      </w:r>
    </w:p>
    <w:bookmarkEnd w:id="8"/>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44</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35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128377F1"/>
    <w:multiLevelType w:val="singleLevel"/>
    <w:tmpl w:val="128377F1"/>
    <w:lvl w:ilvl="0" w:tentative="0">
      <w:start w:val="1"/>
      <w:numFmt w:val="decimal"/>
      <w:lvlText w:val="%1."/>
      <w:lvlJc w:val="left"/>
      <w:pPr>
        <w:ind w:left="425" w:hanging="425"/>
      </w:pPr>
      <w:rPr>
        <w:rFonts w:hint="default"/>
      </w:rPr>
    </w:lvl>
  </w:abstractNum>
  <w:abstractNum w:abstractNumId="4">
    <w:nsid w:val="3EA9566E"/>
    <w:multiLevelType w:val="multilevel"/>
    <w:tmpl w:val="3EA9566E"/>
    <w:lvl w:ilvl="0" w:tentative="0">
      <w:start w:val="1"/>
      <w:numFmt w:val="decimal"/>
      <w:pStyle w:val="2"/>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6AA12C86"/>
    <w:multiLevelType w:val="singleLevel"/>
    <w:tmpl w:val="6AA12C86"/>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GQ0ZGVlNjNhMjdhNTMwY2M1MTU5MWQxNzA4YWQifQ=="/>
  </w:docVars>
  <w:rsids>
    <w:rsidRoot w:val="00BE6395"/>
    <w:rsid w:val="001754AD"/>
    <w:rsid w:val="002B3197"/>
    <w:rsid w:val="00372253"/>
    <w:rsid w:val="004F6D53"/>
    <w:rsid w:val="0050010C"/>
    <w:rsid w:val="0071525F"/>
    <w:rsid w:val="00B2669F"/>
    <w:rsid w:val="00BE6395"/>
    <w:rsid w:val="00D5554C"/>
    <w:rsid w:val="00E37F64"/>
    <w:rsid w:val="00FC3E1B"/>
    <w:rsid w:val="00FF0151"/>
    <w:rsid w:val="00FF44E3"/>
    <w:rsid w:val="041E0BE1"/>
    <w:rsid w:val="05521601"/>
    <w:rsid w:val="0CF31BCF"/>
    <w:rsid w:val="1ACE63D1"/>
    <w:rsid w:val="239D4B92"/>
    <w:rsid w:val="375458D3"/>
    <w:rsid w:val="54267FB0"/>
    <w:rsid w:val="565C6063"/>
    <w:rsid w:val="61025A59"/>
    <w:rsid w:val="67A34ADA"/>
    <w:rsid w:val="6A5B28CE"/>
    <w:rsid w:val="7DE4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widowControl w:val="0"/>
      <w:numPr>
        <w:ilvl w:val="0"/>
        <w:numId w:val="1"/>
      </w:numPr>
      <w:tabs>
        <w:tab w:val="left" w:pos="0"/>
        <w:tab w:val="clear" w:pos="420"/>
      </w:tabs>
      <w:spacing w:before="200" w:beforeLines="200" w:beforeAutospacing="0" w:after="200" w:afterLines="200" w:afterAutospacing="0" w:line="400" w:lineRule="exact"/>
      <w:ind w:left="432" w:hanging="432"/>
      <w:jc w:val="center"/>
      <w:outlineLvl w:val="0"/>
    </w:pPr>
    <w:rPr>
      <w:rFonts w:eastAsia="黑体" w:asciiTheme="minorAscii" w:hAnsiTheme="minorAscii" w:cstheme="minorBidi"/>
      <w:kern w:val="44"/>
      <w:sz w:val="32"/>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before="152"/>
    </w:pPr>
    <w:rPr>
      <w:rFonts w:ascii="Arial" w:hAnsi="Arial" w:eastAsia="黑体" w:cs="Arial"/>
      <w:kern w:val="0"/>
      <w:sz w:val="20"/>
      <w:szCs w:val="20"/>
    </w:rPr>
  </w:style>
  <w:style w:type="paragraph" w:styleId="4">
    <w:name w:val="Body Text"/>
    <w:basedOn w:val="1"/>
    <w:unhideWhenUsed/>
    <w:qFormat/>
    <w:uiPriority w:val="0"/>
    <w:pPr>
      <w:spacing w:after="120"/>
    </w:pPr>
  </w:style>
  <w:style w:type="paragraph" w:styleId="5">
    <w:name w:val="Date"/>
    <w:basedOn w:val="1"/>
    <w:next w:val="1"/>
    <w:link w:val="14"/>
    <w:semiHidden/>
    <w:unhideWhenUsed/>
    <w:qFormat/>
    <w:uiPriority w:val="99"/>
    <w:pPr>
      <w:ind w:left="100" w:leftChars="2500"/>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8">
    <w:name w:val="toc 1"/>
    <w:basedOn w:val="1"/>
    <w:next w:val="1"/>
    <w:qFormat/>
    <w:uiPriority w:val="39"/>
  </w:style>
  <w:style w:type="paragraph" w:styleId="9">
    <w:name w:val="Body Text First Indent"/>
    <w:basedOn w:val="4"/>
    <w:qFormat/>
    <w:uiPriority w:val="0"/>
    <w:pPr>
      <w:ind w:firstLine="420" w:firstLineChars="1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Calibri" w:hAnsi="Calibri" w:eastAsia="宋体" w:cs="Times New Roman"/>
    </w:rPr>
  </w:style>
  <w:style w:type="character" w:customStyle="1" w:styleId="14">
    <w:name w:val="日期 字符"/>
    <w:basedOn w:val="12"/>
    <w:link w:val="5"/>
    <w:semiHidden/>
    <w:qFormat/>
    <w:uiPriority w:val="99"/>
  </w:style>
  <w:style w:type="paragraph" w:styleId="15">
    <w:name w:val="List Paragraph"/>
    <w:basedOn w:val="1"/>
    <w:qFormat/>
    <w:uiPriority w:val="34"/>
    <w:pPr>
      <w:ind w:firstLine="420" w:firstLineChars="200"/>
    </w:pPr>
  </w:style>
  <w:style w:type="paragraph" w:customStyle="1" w:styleId="16">
    <w:name w:val="正文首行缩进两字符"/>
    <w:basedOn w:val="17"/>
    <w:qFormat/>
    <w:uiPriority w:val="0"/>
    <w:pPr>
      <w:spacing w:line="360" w:lineRule="auto"/>
      <w:ind w:firstLine="200" w:firstLineChars="200"/>
    </w:pPr>
  </w:style>
  <w:style w:type="paragraph" w:customStyle="1" w:styleId="17">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font11"/>
    <w:basedOn w:val="12"/>
    <w:qFormat/>
    <w:uiPriority w:val="0"/>
    <w:rPr>
      <w:rFonts w:hint="eastAsia" w:ascii="宋体" w:hAnsi="宋体" w:eastAsia="宋体" w:cs="宋体"/>
      <w:color w:val="000000"/>
      <w:sz w:val="24"/>
      <w:szCs w:val="24"/>
      <w:u w:val="none"/>
    </w:rPr>
  </w:style>
  <w:style w:type="paragraph" w:customStyle="1" w:styleId="20">
    <w:name w:val="样式1"/>
    <w:basedOn w:val="21"/>
    <w:qFormat/>
    <w:uiPriority w:val="0"/>
    <w:pPr>
      <w:spacing w:after="0" w:line="400" w:lineRule="exact"/>
      <w:jc w:val="center"/>
    </w:pPr>
    <w:rPr>
      <w:rFonts w:ascii="仿宋" w:hAnsi="仿宋" w:eastAsia="仿宋" w:cs="Times New Roman"/>
      <w:kern w:val="2"/>
      <w:szCs w:val="28"/>
    </w:rPr>
  </w:style>
  <w:style w:type="paragraph" w:customStyle="1" w:styleId="21">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20</Pages>
  <Words>5288</Words>
  <Characters>5460</Characters>
  <Lines>4</Lines>
  <Paragraphs>1</Paragraphs>
  <TotalTime>4</TotalTime>
  <ScaleCrop>false</ScaleCrop>
  <LinksUpToDate>false</LinksUpToDate>
  <CharactersWithSpaces>5725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2023-11-13T02:22:29Z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AC5F9E0CF43B4ABA862AF7E2AD419C4F_13</vt:lpwstr>
  </property>
</Properties>
</file>